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郴州市苏仙区人民检察院 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第一部分郴州市苏仙区人民检察院概况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郴州市苏仙区人民检察院 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jc w:val="left"/>
        <w:rPr>
          <w:rFonts w:asciiTheme="minorEastAsia" w:hAnsiTheme="minorEastAsia"/>
          <w:sz w:val="32"/>
          <w:szCs w:val="32"/>
        </w:rPr>
      </w:pPr>
      <w:r>
        <w:rPr>
          <w:rFonts w:hint="eastAsia" w:asciiTheme="minorEastAsia" w:hAnsiTheme="minorEastAsia"/>
          <w:sz w:val="32"/>
          <w:szCs w:val="32"/>
        </w:rPr>
        <w:t>（一）深入贯彻习近平新时代中国特色社会主义思想，深入贯彻党的路线方针政策和决策部署，坚持党对检察工作的绝对领导，坚决维护习近平总书记的核心地位，坚决维护党中央权威和集中统一领导。</w:t>
      </w:r>
    </w:p>
    <w:p>
      <w:pPr>
        <w:ind w:firstLine="640" w:firstLineChars="200"/>
        <w:jc w:val="left"/>
        <w:rPr>
          <w:rFonts w:asciiTheme="minorEastAsia" w:hAnsiTheme="minorEastAsia"/>
          <w:sz w:val="32"/>
          <w:szCs w:val="32"/>
        </w:rPr>
      </w:pPr>
      <w:r>
        <w:rPr>
          <w:rFonts w:hint="eastAsia" w:asciiTheme="minorEastAsia" w:hAnsiTheme="minorEastAsia"/>
          <w:sz w:val="32"/>
          <w:szCs w:val="32"/>
        </w:rPr>
        <w:t>（二）贯彻落实上级人民检察院的各项工作部署，研究制定检察工作规划，部署检察工作任务。</w:t>
      </w:r>
    </w:p>
    <w:p>
      <w:pPr>
        <w:ind w:firstLine="640" w:firstLineChars="200"/>
        <w:jc w:val="left"/>
        <w:rPr>
          <w:rFonts w:asciiTheme="minorEastAsia" w:hAnsiTheme="minorEastAsia"/>
          <w:sz w:val="32"/>
          <w:szCs w:val="32"/>
        </w:rPr>
      </w:pPr>
      <w:r>
        <w:rPr>
          <w:rFonts w:hint="eastAsia" w:asciiTheme="minorEastAsia" w:hAnsiTheme="minorEastAsia"/>
          <w:sz w:val="32"/>
          <w:szCs w:val="32"/>
        </w:rPr>
        <w:t>（三）依照法律规定对由区人民检察院直接受理的刑事案件行使侦查权。</w:t>
      </w:r>
    </w:p>
    <w:p>
      <w:pPr>
        <w:ind w:firstLine="640" w:firstLineChars="200"/>
        <w:jc w:val="left"/>
        <w:rPr>
          <w:rFonts w:asciiTheme="minorEastAsia" w:hAnsiTheme="minorEastAsia"/>
          <w:sz w:val="32"/>
          <w:szCs w:val="32"/>
        </w:rPr>
      </w:pPr>
      <w:r>
        <w:rPr>
          <w:rFonts w:hint="eastAsia" w:asciiTheme="minorEastAsia" w:hAnsiTheme="minorEastAsia"/>
          <w:sz w:val="32"/>
          <w:szCs w:val="32"/>
        </w:rPr>
        <w:t>（四）对刑事案件依法审查批准逮捕、决定逮捕、提起公诉。</w:t>
      </w:r>
    </w:p>
    <w:p>
      <w:pPr>
        <w:ind w:firstLine="640" w:firstLineChars="200"/>
        <w:jc w:val="left"/>
        <w:rPr>
          <w:rFonts w:asciiTheme="minorEastAsia" w:hAnsiTheme="minorEastAsia"/>
          <w:sz w:val="32"/>
          <w:szCs w:val="32"/>
        </w:rPr>
      </w:pPr>
      <w:r>
        <w:rPr>
          <w:rFonts w:hint="eastAsia" w:asciiTheme="minorEastAsia" w:hAnsiTheme="minorEastAsia"/>
          <w:sz w:val="32"/>
          <w:szCs w:val="32"/>
        </w:rPr>
        <w:t>（五）负责应由区人民检察院承办的刑事、民事、行政诉讼活动及刑事、民事、行政判决和裁定等生效法律文书执行的法律监督工作。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（六）负责应由区人民检察院承办的提起公益诉讼工作。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（七）负责应由区人民检察院承办的对看守所、社区矫正机构等执法活动的法律监督工作。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（八）受理向区人民检察院的控告申诉。</w:t>
      </w:r>
    </w:p>
    <w:p>
      <w:pPr>
        <w:ind w:firstLine="640" w:firstLineChars="200"/>
        <w:jc w:val="left"/>
        <w:rPr>
          <w:rFonts w:asciiTheme="minorEastAsia" w:hAnsiTheme="minorEastAsia"/>
          <w:sz w:val="32"/>
          <w:szCs w:val="32"/>
        </w:rPr>
      </w:pPr>
      <w:r>
        <w:rPr>
          <w:rFonts w:hint="eastAsia" w:asciiTheme="minorEastAsia" w:hAnsiTheme="minorEastAsia"/>
          <w:sz w:val="32"/>
          <w:szCs w:val="32"/>
        </w:rPr>
        <w:t>（九）负责检察机关的理论研究工作。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（十）负责检察机关队伍建设和思想政治工作。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（十一）负责检务督察工作。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（十二）负责检察机关财物装备和检察技术信息工作。</w:t>
      </w:r>
    </w:p>
    <w:p>
      <w:pPr>
        <w:ind w:firstLine="640" w:firstLineChars="200"/>
        <w:jc w:val="left"/>
        <w:rPr>
          <w:rFonts w:asciiTheme="minorEastAsia" w:hAnsiTheme="minorEastAsia"/>
          <w:sz w:val="32"/>
          <w:szCs w:val="32"/>
        </w:rPr>
      </w:pPr>
      <w:r>
        <w:rPr>
          <w:rFonts w:hint="eastAsia" w:asciiTheme="minorEastAsia" w:hAnsiTheme="minorEastAsia"/>
          <w:sz w:val="32"/>
          <w:szCs w:val="32"/>
        </w:rPr>
        <w:t>（十三）负责其他应当由区人民检察院承办的事项。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（一）内设机构设置。郴州市苏仙区人民检察院内设机构包括：办公室、第一检察部、第二检察部、第三检察部、政治部（司法警察大队）。</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（二）决算单位构成。郴州市苏仙区人民检察院单位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21年部门决算汇总公开单位构成包括：郴州市苏仙区人民检察院本级。</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第二部分</w:t>
      </w:r>
    </w:p>
    <w:p>
      <w:pPr>
        <w:pStyle w:val="11"/>
        <w:jc w:val="center"/>
        <w:rPr>
          <w:sz w:val="72"/>
          <w:szCs w:val="72"/>
        </w:rPr>
      </w:pPr>
    </w:p>
    <w:p>
      <w:pPr>
        <w:pStyle w:val="11"/>
        <w:jc w:val="center"/>
        <w:rPr>
          <w:sz w:val="72"/>
          <w:szCs w:val="72"/>
        </w:rPr>
      </w:pPr>
      <w:r>
        <w:rPr>
          <w:rFonts w:hint="eastAsia"/>
          <w:sz w:val="72"/>
          <w:szCs w:val="72"/>
        </w:rPr>
        <w:t>部门决算表</w:t>
      </w:r>
    </w:p>
    <w:p>
      <w:pPr>
        <w:pStyle w:val="11"/>
        <w:jc w:val="center"/>
        <w:rPr>
          <w:sz w:val="72"/>
          <w:szCs w:val="72"/>
        </w:rPr>
      </w:pPr>
    </w:p>
    <w:p>
      <w:pPr>
        <w:pStyle w:val="11"/>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32"/>
          <w:szCs w:val="32"/>
        </w:rPr>
      </w:pPr>
    </w:p>
    <w:p>
      <w:pPr>
        <w:jc w:val="center"/>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4999" w:type="pct"/>
        <w:tblInd w:w="0" w:type="dxa"/>
        <w:tblLayout w:type="autofit"/>
        <w:tblCellMar>
          <w:top w:w="0" w:type="dxa"/>
          <w:left w:w="108" w:type="dxa"/>
          <w:bottom w:w="0" w:type="dxa"/>
          <w:right w:w="108" w:type="dxa"/>
        </w:tblCellMar>
      </w:tblPr>
      <w:tblGrid>
        <w:gridCol w:w="4193"/>
        <w:gridCol w:w="656"/>
        <w:gridCol w:w="2240"/>
        <w:gridCol w:w="1703"/>
        <w:gridCol w:w="2476"/>
        <w:gridCol w:w="656"/>
        <w:gridCol w:w="2247"/>
      </w:tblGrid>
      <w:tr>
        <w:tblPrEx>
          <w:tblCellMar>
            <w:top w:w="0" w:type="dxa"/>
            <w:left w:w="108" w:type="dxa"/>
            <w:bottom w:w="0" w:type="dxa"/>
            <w:right w:w="108" w:type="dxa"/>
          </w:tblCellMar>
        </w:tblPrEx>
        <w:trPr>
          <w:trHeight w:val="567" w:hRule="atLeast"/>
        </w:trPr>
        <w:tc>
          <w:tcPr>
            <w:tcW w:w="1485" w:type="pct"/>
            <w:tcBorders>
              <w:top w:val="nil"/>
              <w:left w:val="nil"/>
              <w:bottom w:val="nil"/>
              <w:right w:val="nil"/>
            </w:tcBorders>
            <w:shd w:val="clear" w:color="auto" w:fill="FFFFFF"/>
            <w:noWrap/>
            <w:vAlign w:val="center"/>
          </w:tcPr>
          <w:p>
            <w:pPr>
              <w:jc w:val="left"/>
              <w:rPr>
                <w:rFonts w:ascii="宋体" w:hAnsi="宋体" w:eastAsia="宋体" w:cs="宋体"/>
                <w:color w:val="000000"/>
                <w:sz w:val="22"/>
              </w:rPr>
            </w:pPr>
          </w:p>
        </w:tc>
        <w:tc>
          <w:tcPr>
            <w:tcW w:w="21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02" w:type="pct"/>
            <w:gridSpan w:val="2"/>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华文中宋" w:hAnsi="华文中宋" w:eastAsia="华文中宋" w:cs="宋体"/>
                <w:color w:val="000000"/>
                <w:kern w:val="0"/>
                <w:sz w:val="32"/>
                <w:szCs w:val="32"/>
              </w:rPr>
              <w:t>收入支出决算总表</w:t>
            </w:r>
          </w:p>
        </w:tc>
        <w:tc>
          <w:tcPr>
            <w:tcW w:w="87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1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95"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567" w:hRule="atLeast"/>
        </w:trPr>
        <w:tc>
          <w:tcPr>
            <w:tcW w:w="148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1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9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85"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1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95" w:type="pct"/>
            <w:tcBorders>
              <w:top w:val="nil"/>
              <w:left w:val="nil"/>
              <w:bottom w:val="nil"/>
              <w:right w:val="single" w:color="808080" w:sz="4" w:space="0"/>
            </w:tcBorders>
            <w:shd w:val="clear" w:color="auto" w:fill="FFFFFF"/>
            <w:noWrap/>
            <w:vAlign w:val="center"/>
          </w:tcPr>
          <w:p>
            <w:pPr>
              <w:widowControl/>
              <w:jc w:val="right"/>
              <w:rPr>
                <w:rFonts w:ascii="宋体" w:hAnsi="宋体" w:eastAsia="宋体" w:cs="宋体"/>
                <w:color w:val="000000"/>
                <w:sz w:val="22"/>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567" w:hRule="atLeast"/>
        </w:trPr>
        <w:tc>
          <w:tcPr>
            <w:tcW w:w="1485" w:type="pct"/>
            <w:tcBorders>
              <w:top w:val="nil"/>
              <w:left w:val="nil"/>
              <w:bottom w:val="single" w:color="808080" w:sz="4" w:space="0"/>
              <w:right w:val="nil"/>
            </w:tcBorders>
            <w:shd w:val="clear" w:color="auto"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2"/>
              </w:rPr>
              <w:t>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218" w:type="pct"/>
            <w:tcBorders>
              <w:top w:val="nil"/>
              <w:left w:val="nil"/>
              <w:bottom w:val="single" w:color="808080" w:sz="4" w:space="0"/>
              <w:right w:val="nil"/>
            </w:tcBorders>
            <w:shd w:val="clear" w:color="auto" w:fill="FFFFFF"/>
            <w:noWrap/>
            <w:vAlign w:val="center"/>
          </w:tcPr>
          <w:p>
            <w:pPr>
              <w:widowControl/>
              <w:jc w:val="left"/>
              <w:rPr>
                <w:rFonts w:ascii="宋体" w:hAnsi="宋体" w:eastAsia="宋体" w:cs="宋体"/>
                <w:color w:val="000000"/>
                <w:kern w:val="0"/>
                <w:sz w:val="20"/>
                <w:szCs w:val="20"/>
              </w:rPr>
            </w:pPr>
          </w:p>
        </w:tc>
        <w:tc>
          <w:tcPr>
            <w:tcW w:w="795" w:type="pct"/>
            <w:tcBorders>
              <w:top w:val="nil"/>
              <w:left w:val="nil"/>
              <w:bottom w:val="single" w:color="808080" w:sz="4" w:space="0"/>
              <w:right w:val="nil"/>
            </w:tcBorders>
            <w:shd w:val="clear" w:color="auto"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2021年度</w:t>
            </w:r>
          </w:p>
        </w:tc>
        <w:tc>
          <w:tcPr>
            <w:tcW w:w="1485" w:type="pct"/>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18"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795" w:type="pct"/>
            <w:tcBorders>
              <w:top w:val="nil"/>
              <w:left w:val="nil"/>
              <w:bottom w:val="single" w:color="808080" w:sz="4" w:space="0"/>
              <w:right w:val="single" w:color="808080" w:sz="4" w:space="0"/>
            </w:tcBorders>
            <w:shd w:val="clear" w:color="auto" w:fill="FFFFFF"/>
            <w:noWrap/>
            <w:vAlign w:val="center"/>
          </w:tcPr>
          <w:p>
            <w:pPr>
              <w:widowControl/>
              <w:jc w:val="right"/>
              <w:rPr>
                <w:rFonts w:ascii="宋体" w:hAnsi="宋体" w:eastAsia="宋体" w:cs="宋体"/>
                <w:color w:val="000000"/>
                <w:sz w:val="22"/>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567" w:hRule="atLeast"/>
        </w:trPr>
        <w:tc>
          <w:tcPr>
            <w:tcW w:w="2499"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2500" w:type="pct"/>
            <w:gridSpan w:val="4"/>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9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9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18" w:type="pct"/>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79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18" w:type="pct"/>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79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1,422.74</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10.74</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三、国有资本经营预算财政拨款收入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四、上级补助收入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1,562.77</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五、事业收入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六、经营收入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七、附属单位上缴收入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八、其他收入</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318.84</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75.44</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61.30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1,741.58</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1,799.26</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使用非财政拨款结余</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132.16</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74.49</w:t>
            </w: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95"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485" w:type="pct"/>
            <w:gridSpan w:val="2"/>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795" w:type="pct"/>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1485" w:type="pct"/>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1,873.74</w:t>
            </w:r>
          </w:p>
        </w:tc>
        <w:tc>
          <w:tcPr>
            <w:tcW w:w="1485" w:type="pct"/>
            <w:gridSpan w:val="2"/>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18"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7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1,873.74</w:t>
            </w:r>
          </w:p>
        </w:tc>
      </w:tr>
      <w:tr>
        <w:tblPrEx>
          <w:tblCellMar>
            <w:top w:w="0" w:type="dxa"/>
            <w:left w:w="108" w:type="dxa"/>
            <w:bottom w:w="0" w:type="dxa"/>
            <w:right w:w="108" w:type="dxa"/>
          </w:tblCellMar>
        </w:tblPrEx>
        <w:trPr>
          <w:trHeight w:val="567" w:hRule="atLeast"/>
        </w:trPr>
        <w:tc>
          <w:tcPr>
            <w:tcW w:w="5000" w:type="pct"/>
            <w:gridSpan w:val="7"/>
            <w:tcBorders>
              <w:top w:val="nil"/>
              <w:left w:val="nil"/>
              <w:bottom w:val="nil"/>
              <w:right w:val="nil"/>
            </w:tcBorders>
            <w:shd w:val="clear" w:color="auto"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tc>
      </w:tr>
      <w:tr>
        <w:tblPrEx>
          <w:tblCellMar>
            <w:top w:w="0" w:type="dxa"/>
            <w:left w:w="108" w:type="dxa"/>
            <w:bottom w:w="0" w:type="dxa"/>
            <w:right w:w="108" w:type="dxa"/>
          </w:tblCellMar>
        </w:tblPrEx>
        <w:trPr>
          <w:trHeight w:val="567" w:hRule="atLeast"/>
        </w:trPr>
        <w:tc>
          <w:tcPr>
            <w:tcW w:w="5000" w:type="pct"/>
            <w:gridSpan w:val="7"/>
            <w:tcBorders>
              <w:top w:val="nil"/>
              <w:left w:val="nil"/>
              <w:bottom w:val="nil"/>
              <w:right w:val="nil"/>
            </w:tcBorders>
            <w:shd w:val="clear" w:color="auto"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4402" w:type="dxa"/>
        <w:tblInd w:w="-93" w:type="dxa"/>
        <w:tblLayout w:type="autofit"/>
        <w:tblCellMar>
          <w:top w:w="0" w:type="dxa"/>
          <w:left w:w="0" w:type="dxa"/>
          <w:bottom w:w="0" w:type="dxa"/>
          <w:right w:w="0" w:type="dxa"/>
        </w:tblCellMar>
      </w:tblPr>
      <w:tblGrid>
        <w:gridCol w:w="1803"/>
        <w:gridCol w:w="1434"/>
        <w:gridCol w:w="59"/>
        <w:gridCol w:w="88"/>
        <w:gridCol w:w="75"/>
        <w:gridCol w:w="59"/>
        <w:gridCol w:w="163"/>
        <w:gridCol w:w="59"/>
        <w:gridCol w:w="388"/>
        <w:gridCol w:w="1851"/>
        <w:gridCol w:w="52"/>
        <w:gridCol w:w="1066"/>
        <w:gridCol w:w="545"/>
        <w:gridCol w:w="413"/>
        <w:gridCol w:w="738"/>
        <w:gridCol w:w="431"/>
        <w:gridCol w:w="416"/>
        <w:gridCol w:w="234"/>
        <w:gridCol w:w="508"/>
        <w:gridCol w:w="18"/>
        <w:gridCol w:w="755"/>
        <w:gridCol w:w="388"/>
        <w:gridCol w:w="228"/>
        <w:gridCol w:w="665"/>
        <w:gridCol w:w="268"/>
        <w:gridCol w:w="354"/>
        <w:gridCol w:w="659"/>
        <w:gridCol w:w="148"/>
        <w:gridCol w:w="385"/>
        <w:gridCol w:w="1231"/>
      </w:tblGrid>
      <w:tr>
        <w:tblPrEx>
          <w:tblCellMar>
            <w:top w:w="0" w:type="dxa"/>
            <w:left w:w="0" w:type="dxa"/>
            <w:bottom w:w="0" w:type="dxa"/>
            <w:right w:w="0" w:type="dxa"/>
          </w:tblCellMar>
        </w:tblPrEx>
        <w:trPr>
          <w:trHeight w:val="435" w:hRule="atLeast"/>
        </w:trPr>
        <w:tc>
          <w:tcPr>
            <w:tcW w:w="14402" w:type="dxa"/>
            <w:gridSpan w:val="3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 xml:space="preserve">    收入决算表</w:t>
            </w:r>
          </w:p>
        </w:tc>
      </w:tr>
      <w:tr>
        <w:tblPrEx>
          <w:tblCellMar>
            <w:top w:w="0" w:type="dxa"/>
            <w:left w:w="108" w:type="dxa"/>
            <w:bottom w:w="0" w:type="dxa"/>
            <w:right w:w="108" w:type="dxa"/>
          </w:tblCellMar>
        </w:tblPrEx>
        <w:trPr>
          <w:trHeight w:val="300" w:hRule="atLeast"/>
        </w:trPr>
        <w:tc>
          <w:tcPr>
            <w:tcW w:w="1036" w:type="pct"/>
            <w:gridSpan w:val="2"/>
            <w:tcBorders>
              <w:top w:val="nil"/>
              <w:left w:val="nil"/>
              <w:bottom w:val="nil"/>
              <w:right w:val="nil"/>
            </w:tcBorders>
            <w:shd w:val="clear" w:color="auto" w:fill="FFFFFF"/>
            <w:noWrap/>
            <w:vAlign w:val="center"/>
          </w:tcPr>
          <w:p>
            <w:pPr>
              <w:rPr>
                <w:color w:val="000000"/>
                <w:sz w:val="20"/>
                <w:szCs w:val="20"/>
              </w:rPr>
            </w:pPr>
          </w:p>
        </w:tc>
        <w:tc>
          <w:tcPr>
            <w:tcW w:w="71" w:type="pct"/>
            <w:gridSpan w:val="3"/>
            <w:tcBorders>
              <w:top w:val="nil"/>
              <w:left w:val="nil"/>
              <w:bottom w:val="nil"/>
              <w:right w:val="nil"/>
            </w:tcBorders>
            <w:shd w:val="clear" w:color="auto" w:fill="FFFFFF"/>
            <w:noWrap/>
            <w:vAlign w:val="center"/>
          </w:tcPr>
          <w:p>
            <w:pPr>
              <w:rPr>
                <w:color w:val="000000"/>
                <w:sz w:val="20"/>
                <w:szCs w:val="20"/>
              </w:rPr>
            </w:pPr>
          </w:p>
        </w:tc>
        <w:tc>
          <w:tcPr>
            <w:tcW w:w="71" w:type="pct"/>
            <w:gridSpan w:val="2"/>
            <w:tcBorders>
              <w:top w:val="nil"/>
              <w:left w:val="nil"/>
              <w:bottom w:val="nil"/>
              <w:right w:val="nil"/>
            </w:tcBorders>
            <w:shd w:val="clear" w:color="auto" w:fill="FFFFFF"/>
            <w:noWrap/>
            <w:vAlign w:val="center"/>
          </w:tcPr>
          <w:p>
            <w:pPr>
              <w:rPr>
                <w:color w:val="000000"/>
                <w:sz w:val="20"/>
                <w:szCs w:val="20"/>
              </w:rPr>
            </w:pPr>
          </w:p>
        </w:tc>
        <w:tc>
          <w:tcPr>
            <w:tcW w:w="1109" w:type="pct"/>
            <w:gridSpan w:val="5"/>
            <w:tcBorders>
              <w:top w:val="nil"/>
              <w:left w:val="nil"/>
              <w:bottom w:val="nil"/>
              <w:right w:val="nil"/>
            </w:tcBorders>
            <w:shd w:val="clear" w:color="auto" w:fill="FFFFFF"/>
            <w:noWrap/>
            <w:vAlign w:val="center"/>
          </w:tcPr>
          <w:p>
            <w:pPr>
              <w:rPr>
                <w:color w:val="000000"/>
                <w:sz w:val="20"/>
                <w:szCs w:val="20"/>
              </w:rPr>
            </w:pPr>
          </w:p>
        </w:tc>
        <w:tc>
          <w:tcPr>
            <w:tcW w:w="308" w:type="pct"/>
            <w:gridSpan w:val="2"/>
            <w:tcBorders>
              <w:top w:val="nil"/>
              <w:left w:val="nil"/>
              <w:bottom w:val="nil"/>
              <w:right w:val="nil"/>
            </w:tcBorders>
            <w:shd w:val="clear" w:color="auto" w:fill="FFFFFF"/>
            <w:noWrap/>
            <w:vAlign w:val="center"/>
          </w:tcPr>
          <w:p>
            <w:pPr>
              <w:rPr>
                <w:color w:val="000000"/>
                <w:sz w:val="20"/>
                <w:szCs w:val="20"/>
              </w:rPr>
            </w:pPr>
          </w:p>
        </w:tc>
        <w:tc>
          <w:tcPr>
            <w:tcW w:w="376" w:type="pct"/>
            <w:gridSpan w:val="2"/>
            <w:tcBorders>
              <w:top w:val="nil"/>
              <w:left w:val="nil"/>
              <w:bottom w:val="nil"/>
              <w:right w:val="nil"/>
            </w:tcBorders>
            <w:shd w:val="clear" w:color="auto" w:fill="FFFFFF"/>
            <w:noWrap/>
            <w:vAlign w:val="center"/>
          </w:tcPr>
          <w:p>
            <w:pPr>
              <w:rPr>
                <w:color w:val="000000"/>
                <w:sz w:val="20"/>
                <w:szCs w:val="20"/>
              </w:rPr>
            </w:pPr>
          </w:p>
        </w:tc>
        <w:tc>
          <w:tcPr>
            <w:tcW w:w="376" w:type="pct"/>
            <w:gridSpan w:val="3"/>
            <w:tcBorders>
              <w:top w:val="nil"/>
              <w:left w:val="nil"/>
              <w:bottom w:val="nil"/>
              <w:right w:val="nil"/>
            </w:tcBorders>
            <w:shd w:val="clear" w:color="auto" w:fill="FFFFFF"/>
            <w:noWrap/>
            <w:vAlign w:val="center"/>
          </w:tcPr>
          <w:p>
            <w:pPr>
              <w:rPr>
                <w:color w:val="000000"/>
                <w:sz w:val="20"/>
                <w:szCs w:val="20"/>
              </w:rPr>
            </w:pPr>
          </w:p>
        </w:tc>
        <w:tc>
          <w:tcPr>
            <w:tcW w:w="377" w:type="pct"/>
            <w:gridSpan w:val="3"/>
            <w:tcBorders>
              <w:top w:val="nil"/>
              <w:left w:val="nil"/>
              <w:bottom w:val="nil"/>
              <w:right w:val="nil"/>
            </w:tcBorders>
            <w:shd w:val="clear" w:color="auto" w:fill="FFFFFF"/>
            <w:noWrap/>
            <w:vAlign w:val="center"/>
          </w:tcPr>
          <w:p>
            <w:pPr>
              <w:rPr>
                <w:color w:val="000000"/>
                <w:sz w:val="20"/>
                <w:szCs w:val="20"/>
              </w:rPr>
            </w:pPr>
          </w:p>
        </w:tc>
        <w:tc>
          <w:tcPr>
            <w:tcW w:w="377" w:type="pct"/>
            <w:gridSpan w:val="3"/>
            <w:tcBorders>
              <w:top w:val="nil"/>
              <w:left w:val="nil"/>
              <w:bottom w:val="nil"/>
              <w:right w:val="nil"/>
            </w:tcBorders>
            <w:shd w:val="clear" w:color="auto" w:fill="FFFFFF"/>
            <w:noWrap/>
            <w:vAlign w:val="center"/>
          </w:tcPr>
          <w:p>
            <w:pPr>
              <w:rPr>
                <w:color w:val="000000"/>
                <w:sz w:val="20"/>
                <w:szCs w:val="20"/>
              </w:rPr>
            </w:pPr>
          </w:p>
        </w:tc>
        <w:tc>
          <w:tcPr>
            <w:tcW w:w="377" w:type="pct"/>
            <w:gridSpan w:val="3"/>
            <w:tcBorders>
              <w:top w:val="nil"/>
              <w:left w:val="nil"/>
              <w:bottom w:val="nil"/>
              <w:right w:val="nil"/>
            </w:tcBorders>
            <w:shd w:val="clear" w:color="auto" w:fill="FFFFFF"/>
            <w:noWrap/>
            <w:vAlign w:val="center"/>
          </w:tcPr>
          <w:p>
            <w:pPr>
              <w:rPr>
                <w:color w:val="000000"/>
                <w:sz w:val="20"/>
                <w:szCs w:val="20"/>
              </w:rPr>
            </w:pPr>
          </w:p>
        </w:tc>
        <w:tc>
          <w:tcPr>
            <w:tcW w:w="517" w:type="pct"/>
            <w:gridSpan w:val="2"/>
            <w:tcBorders>
              <w:top w:val="nil"/>
              <w:left w:val="nil"/>
              <w:bottom w:val="nil"/>
              <w:right w:val="single" w:color="808080" w:sz="4" w:space="0"/>
            </w:tcBorders>
            <w:shd w:val="clear" w:color="auto" w:fill="FFFFFF"/>
            <w:noWrap/>
            <w:vAlign w:val="center"/>
          </w:tcPr>
          <w:p>
            <w:pPr>
              <w:rPr>
                <w:color w:val="000000"/>
                <w:sz w:val="20"/>
                <w:szCs w:val="20"/>
              </w:rPr>
            </w:pPr>
            <w:r>
              <w:rPr>
                <w:rFonts w:hint="eastAsia"/>
                <w:color w:val="000000"/>
                <w:sz w:val="20"/>
                <w:szCs w:val="20"/>
              </w:rPr>
              <w:t>公开02表</w:t>
            </w:r>
          </w:p>
        </w:tc>
      </w:tr>
      <w:tr>
        <w:tblPrEx>
          <w:tblCellMar>
            <w:top w:w="0" w:type="dxa"/>
            <w:left w:w="108" w:type="dxa"/>
            <w:bottom w:w="0" w:type="dxa"/>
            <w:right w:w="108" w:type="dxa"/>
          </w:tblCellMar>
        </w:tblPrEx>
        <w:trPr>
          <w:trHeight w:val="300" w:hRule="atLeast"/>
        </w:trPr>
        <w:tc>
          <w:tcPr>
            <w:tcW w:w="1036" w:type="pct"/>
            <w:gridSpan w:val="2"/>
            <w:tcBorders>
              <w:top w:val="nil"/>
              <w:left w:val="nil"/>
              <w:bottom w:val="single" w:color="808080" w:sz="4" w:space="0"/>
              <w:right w:val="nil"/>
            </w:tcBorders>
            <w:shd w:val="clear" w:color="auto" w:fill="FFFFFF"/>
            <w:noWrap/>
            <w:vAlign w:val="center"/>
          </w:tcPr>
          <w:p>
            <w:pPr>
              <w:rPr>
                <w:color w:val="000000"/>
                <w:sz w:val="20"/>
                <w:szCs w:val="20"/>
              </w:rPr>
            </w:pPr>
            <w:r>
              <w:rPr>
                <w:rFonts w:hint="eastAsia"/>
                <w:color w:val="000000"/>
                <w:sz w:val="20"/>
                <w:szCs w:val="20"/>
              </w:rPr>
              <w:t>部门：</w:t>
            </w:r>
            <w:r>
              <w:rPr>
                <w:rFonts w:hint="eastAsia" w:ascii="宋体" w:hAnsi="宋体" w:eastAsia="宋体" w:cs="宋体"/>
                <w:color w:val="000000"/>
                <w:kern w:val="0"/>
                <w:sz w:val="22"/>
              </w:rPr>
              <w:t>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71" w:type="pct"/>
            <w:gridSpan w:val="3"/>
            <w:tcBorders>
              <w:top w:val="nil"/>
              <w:left w:val="nil"/>
              <w:bottom w:val="single" w:color="808080" w:sz="4" w:space="0"/>
              <w:right w:val="nil"/>
            </w:tcBorders>
            <w:shd w:val="clear" w:color="auto" w:fill="FFFFFF"/>
            <w:noWrap/>
            <w:vAlign w:val="center"/>
          </w:tcPr>
          <w:p>
            <w:pPr>
              <w:rPr>
                <w:color w:val="000000"/>
                <w:sz w:val="20"/>
                <w:szCs w:val="20"/>
              </w:rPr>
            </w:pPr>
          </w:p>
        </w:tc>
        <w:tc>
          <w:tcPr>
            <w:tcW w:w="71" w:type="pct"/>
            <w:gridSpan w:val="2"/>
            <w:tcBorders>
              <w:top w:val="nil"/>
              <w:left w:val="nil"/>
              <w:bottom w:val="single" w:color="808080" w:sz="4" w:space="0"/>
              <w:right w:val="nil"/>
            </w:tcBorders>
            <w:shd w:val="clear" w:color="auto" w:fill="FFFFFF"/>
            <w:noWrap/>
            <w:vAlign w:val="center"/>
          </w:tcPr>
          <w:p>
            <w:pPr>
              <w:rPr>
                <w:color w:val="000000"/>
                <w:sz w:val="20"/>
                <w:szCs w:val="20"/>
              </w:rPr>
            </w:pPr>
          </w:p>
        </w:tc>
        <w:tc>
          <w:tcPr>
            <w:tcW w:w="1794" w:type="pct"/>
            <w:gridSpan w:val="9"/>
            <w:tcBorders>
              <w:top w:val="nil"/>
              <w:left w:val="nil"/>
              <w:bottom w:val="single" w:color="808080" w:sz="4" w:space="0"/>
              <w:right w:val="nil"/>
            </w:tcBorders>
            <w:shd w:val="clear" w:color="auto" w:fill="FFFFFF"/>
            <w:noWrap/>
            <w:vAlign w:val="center"/>
          </w:tcPr>
          <w:p>
            <w:pPr>
              <w:jc w:val="center"/>
              <w:rPr>
                <w:color w:val="000000"/>
                <w:sz w:val="20"/>
                <w:szCs w:val="20"/>
              </w:rPr>
            </w:pPr>
            <w:r>
              <w:rPr>
                <w:rFonts w:hint="eastAsia"/>
                <w:color w:val="000000"/>
                <w:sz w:val="20"/>
                <w:szCs w:val="20"/>
              </w:rPr>
              <w:t xml:space="preserve">                     2021年度</w:t>
            </w:r>
          </w:p>
        </w:tc>
        <w:tc>
          <w:tcPr>
            <w:tcW w:w="376" w:type="pct"/>
            <w:gridSpan w:val="3"/>
            <w:tcBorders>
              <w:top w:val="nil"/>
              <w:left w:val="nil"/>
              <w:bottom w:val="single" w:color="808080" w:sz="4" w:space="0"/>
              <w:right w:val="nil"/>
            </w:tcBorders>
            <w:shd w:val="clear" w:color="auto" w:fill="FFFFFF"/>
            <w:noWrap/>
            <w:vAlign w:val="center"/>
          </w:tcPr>
          <w:p>
            <w:pPr>
              <w:rPr>
                <w:color w:val="000000"/>
                <w:sz w:val="20"/>
                <w:szCs w:val="20"/>
              </w:rPr>
            </w:pPr>
          </w:p>
        </w:tc>
        <w:tc>
          <w:tcPr>
            <w:tcW w:w="377" w:type="pct"/>
            <w:gridSpan w:val="3"/>
            <w:tcBorders>
              <w:top w:val="nil"/>
              <w:left w:val="nil"/>
              <w:bottom w:val="single" w:color="808080" w:sz="4" w:space="0"/>
              <w:right w:val="nil"/>
            </w:tcBorders>
            <w:shd w:val="clear" w:color="auto" w:fill="FFFFFF"/>
            <w:noWrap/>
            <w:vAlign w:val="center"/>
          </w:tcPr>
          <w:p>
            <w:pPr>
              <w:rPr>
                <w:color w:val="000000"/>
                <w:sz w:val="20"/>
                <w:szCs w:val="20"/>
              </w:rPr>
            </w:pPr>
          </w:p>
        </w:tc>
        <w:tc>
          <w:tcPr>
            <w:tcW w:w="377" w:type="pct"/>
            <w:gridSpan w:val="3"/>
            <w:tcBorders>
              <w:top w:val="nil"/>
              <w:left w:val="nil"/>
              <w:bottom w:val="single" w:color="808080" w:sz="4" w:space="0"/>
              <w:right w:val="nil"/>
            </w:tcBorders>
            <w:shd w:val="clear" w:color="auto" w:fill="FFFFFF"/>
            <w:noWrap/>
            <w:vAlign w:val="center"/>
          </w:tcPr>
          <w:p>
            <w:pPr>
              <w:rPr>
                <w:color w:val="000000"/>
                <w:sz w:val="20"/>
                <w:szCs w:val="20"/>
              </w:rPr>
            </w:pPr>
          </w:p>
        </w:tc>
        <w:tc>
          <w:tcPr>
            <w:tcW w:w="377" w:type="pct"/>
            <w:gridSpan w:val="3"/>
            <w:tcBorders>
              <w:top w:val="nil"/>
              <w:left w:val="nil"/>
              <w:bottom w:val="single" w:color="808080" w:sz="4" w:space="0"/>
              <w:right w:val="nil"/>
            </w:tcBorders>
            <w:shd w:val="clear" w:color="auto" w:fill="FFFFFF"/>
            <w:noWrap/>
            <w:vAlign w:val="center"/>
          </w:tcPr>
          <w:p>
            <w:pPr>
              <w:rPr>
                <w:color w:val="000000"/>
                <w:sz w:val="20"/>
                <w:szCs w:val="20"/>
              </w:rPr>
            </w:pPr>
          </w:p>
        </w:tc>
        <w:tc>
          <w:tcPr>
            <w:tcW w:w="517" w:type="pct"/>
            <w:gridSpan w:val="2"/>
            <w:tcBorders>
              <w:top w:val="nil"/>
              <w:left w:val="nil"/>
              <w:bottom w:val="single" w:color="808080" w:sz="4" w:space="0"/>
              <w:right w:val="single" w:color="808080" w:sz="4" w:space="0"/>
            </w:tcBorders>
            <w:shd w:val="clear" w:color="auto" w:fill="FFFFFF"/>
            <w:noWrap/>
            <w:vAlign w:val="center"/>
          </w:tcPr>
          <w:p>
            <w:pPr>
              <w:rPr>
                <w:color w:val="000000"/>
                <w:sz w:val="20"/>
                <w:szCs w:val="20"/>
              </w:rPr>
            </w:pPr>
            <w:r>
              <w:rPr>
                <w:rFonts w:hint="eastAsia"/>
                <w:color w:val="000000"/>
                <w:sz w:val="20"/>
                <w:szCs w:val="20"/>
              </w:rPr>
              <w:t>金额单位：万元</w:t>
            </w:r>
          </w:p>
        </w:tc>
      </w:tr>
      <w:tr>
        <w:tblPrEx>
          <w:tblCellMar>
            <w:top w:w="0" w:type="dxa"/>
            <w:left w:w="108" w:type="dxa"/>
            <w:bottom w:w="0" w:type="dxa"/>
            <w:right w:w="108" w:type="dxa"/>
          </w:tblCellMar>
        </w:tblPrEx>
        <w:trPr>
          <w:trHeight w:val="567" w:hRule="atLeast"/>
        </w:trPr>
        <w:tc>
          <w:tcPr>
            <w:tcW w:w="1924" w:type="pct"/>
            <w:gridSpan w:val="10"/>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项目</w:t>
            </w:r>
          </w:p>
        </w:tc>
        <w:tc>
          <w:tcPr>
            <w:tcW w:w="671" w:type="pct"/>
            <w:gridSpan w:val="4"/>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本年收入合计</w:t>
            </w:r>
          </w:p>
        </w:tc>
        <w:tc>
          <w:tcPr>
            <w:tcW w:w="376" w:type="pct"/>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财政拨款收入</w:t>
            </w:r>
          </w:p>
        </w:tc>
        <w:tc>
          <w:tcPr>
            <w:tcW w:w="376"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上级补助收入</w:t>
            </w:r>
          </w:p>
        </w:tc>
        <w:tc>
          <w:tcPr>
            <w:tcW w:w="377"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事业收入</w:t>
            </w:r>
          </w:p>
        </w:tc>
        <w:tc>
          <w:tcPr>
            <w:tcW w:w="377"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经营收入</w:t>
            </w:r>
          </w:p>
        </w:tc>
        <w:tc>
          <w:tcPr>
            <w:tcW w:w="377"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附属单位上缴收入</w:t>
            </w:r>
          </w:p>
        </w:tc>
        <w:tc>
          <w:tcPr>
            <w:tcW w:w="517" w:type="pct"/>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其他收入</w:t>
            </w:r>
          </w:p>
        </w:tc>
      </w:tr>
      <w:tr>
        <w:tblPrEx>
          <w:tblCellMar>
            <w:top w:w="0" w:type="dxa"/>
            <w:left w:w="108" w:type="dxa"/>
            <w:bottom w:w="0" w:type="dxa"/>
            <w:right w:w="108" w:type="dxa"/>
          </w:tblCellMar>
        </w:tblPrEx>
        <w:trPr>
          <w:trHeight w:val="567" w:hRule="atLeast"/>
        </w:trPr>
        <w:tc>
          <w:tcPr>
            <w:tcW w:w="577" w:type="pct"/>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功能分类科目编码</w:t>
            </w:r>
          </w:p>
        </w:tc>
        <w:tc>
          <w:tcPr>
            <w:tcW w:w="1347" w:type="pct"/>
            <w:gridSpan w:val="9"/>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科目名称</w:t>
            </w:r>
          </w:p>
        </w:tc>
        <w:tc>
          <w:tcPr>
            <w:tcW w:w="671" w:type="pct"/>
            <w:gridSpan w:val="4"/>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6"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51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567" w:hRule="atLeast"/>
        </w:trPr>
        <w:tc>
          <w:tcPr>
            <w:tcW w:w="577"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1347" w:type="pct"/>
            <w:gridSpan w:val="9"/>
            <w:vMerge w:val="continue"/>
            <w:tcBorders>
              <w:top w:val="nil"/>
              <w:left w:val="nil"/>
              <w:bottom w:val="single" w:color="000000" w:sz="4" w:space="0"/>
              <w:right w:val="single" w:color="000000" w:sz="4" w:space="0"/>
            </w:tcBorders>
            <w:shd w:val="clear" w:color="auto" w:fill="C0C0C0"/>
            <w:noWrap/>
            <w:vAlign w:val="center"/>
          </w:tcPr>
          <w:p>
            <w:pPr>
              <w:jc w:val="center"/>
              <w:rPr>
                <w:rFonts w:asciiTheme="minorEastAsia" w:hAnsiTheme="minorEastAsia" w:cstheme="minorEastAsia"/>
                <w:color w:val="000000"/>
                <w:sz w:val="22"/>
              </w:rPr>
            </w:pPr>
          </w:p>
        </w:tc>
        <w:tc>
          <w:tcPr>
            <w:tcW w:w="671" w:type="pct"/>
            <w:gridSpan w:val="4"/>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6"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51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567" w:hRule="atLeast"/>
        </w:trPr>
        <w:tc>
          <w:tcPr>
            <w:tcW w:w="577"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1347" w:type="pct"/>
            <w:gridSpan w:val="9"/>
            <w:vMerge w:val="continue"/>
            <w:tcBorders>
              <w:top w:val="nil"/>
              <w:left w:val="nil"/>
              <w:bottom w:val="single" w:color="000000" w:sz="4" w:space="0"/>
              <w:right w:val="single" w:color="000000" w:sz="4" w:space="0"/>
            </w:tcBorders>
            <w:shd w:val="clear" w:color="auto" w:fill="C0C0C0"/>
            <w:noWrap/>
            <w:vAlign w:val="center"/>
          </w:tcPr>
          <w:p>
            <w:pPr>
              <w:jc w:val="center"/>
              <w:rPr>
                <w:rFonts w:asciiTheme="minorEastAsia" w:hAnsiTheme="minorEastAsia" w:cstheme="minorEastAsia"/>
                <w:color w:val="000000"/>
                <w:sz w:val="22"/>
              </w:rPr>
            </w:pPr>
          </w:p>
        </w:tc>
        <w:tc>
          <w:tcPr>
            <w:tcW w:w="671" w:type="pct"/>
            <w:gridSpan w:val="4"/>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6"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7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51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567" w:hRule="atLeast"/>
        </w:trPr>
        <w:tc>
          <w:tcPr>
            <w:tcW w:w="1924" w:type="pct"/>
            <w:gridSpan w:val="10"/>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栏次</w:t>
            </w:r>
          </w:p>
        </w:tc>
        <w:tc>
          <w:tcPr>
            <w:tcW w:w="671" w:type="pct"/>
            <w:gridSpan w:val="4"/>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w:t>
            </w:r>
          </w:p>
        </w:tc>
        <w:tc>
          <w:tcPr>
            <w:tcW w:w="376" w:type="pct"/>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w:t>
            </w:r>
          </w:p>
        </w:tc>
        <w:tc>
          <w:tcPr>
            <w:tcW w:w="376"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w:t>
            </w:r>
          </w:p>
        </w:tc>
        <w:tc>
          <w:tcPr>
            <w:tcW w:w="377"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4</w:t>
            </w:r>
          </w:p>
        </w:tc>
        <w:tc>
          <w:tcPr>
            <w:tcW w:w="377"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w:t>
            </w:r>
          </w:p>
        </w:tc>
        <w:tc>
          <w:tcPr>
            <w:tcW w:w="377"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w:t>
            </w:r>
          </w:p>
        </w:tc>
        <w:tc>
          <w:tcPr>
            <w:tcW w:w="517" w:type="pct"/>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7</w:t>
            </w:r>
          </w:p>
        </w:tc>
      </w:tr>
      <w:tr>
        <w:tblPrEx>
          <w:tblCellMar>
            <w:top w:w="0" w:type="dxa"/>
            <w:left w:w="108" w:type="dxa"/>
            <w:bottom w:w="0" w:type="dxa"/>
            <w:right w:w="108" w:type="dxa"/>
          </w:tblCellMar>
        </w:tblPrEx>
        <w:trPr>
          <w:trHeight w:val="567" w:hRule="atLeast"/>
        </w:trPr>
        <w:tc>
          <w:tcPr>
            <w:tcW w:w="1924" w:type="pct"/>
            <w:gridSpan w:val="10"/>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合计</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1,741.58</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1,422.74</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318.84</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201</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一般公共服务支出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10.75</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10.75</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20199</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其他一般公共服务支出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10.75</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10.75</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2019901</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国家赔偿费用支出</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10.75</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10.75</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204</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公共安全支出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1,505.07</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1,189.99</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315.08</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20404</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检察</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1,505.07</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1,189.99</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315.08</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2040401</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行政运行</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1,330.07</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1,014.99</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315.08</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2040402</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一般行政管理事务</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127.00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127.00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2040410</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检察监督</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48.00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48.00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205</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教育支出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20508</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进修及培训</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2050803</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培训支出</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3.00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社会保障和就业支出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75.46</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73.00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2.46</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20805</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行政事业单位养老支出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64.46</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62.00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2.46</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2080505</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机关事业单位基本养老保险缴费支出</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64.46</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62.00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2.46</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20899</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其他社会保障和就业支出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11.00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11.00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2089999</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其他社会保障和就业支出</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11.00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11.00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210</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卫生健康支出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61.30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60.00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1.30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21011</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行政事业单位医疗</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61.30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60.00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1.30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2101101</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行政单位医疗</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59.30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58.00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1.30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2101103</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公务员医疗补助</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221</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住房保障支出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22102</w:t>
            </w:r>
          </w:p>
        </w:tc>
        <w:tc>
          <w:tcPr>
            <w:tcW w:w="1347" w:type="pct"/>
            <w:gridSpan w:val="9"/>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住房改革支出</w:t>
            </w:r>
          </w:p>
        </w:tc>
        <w:tc>
          <w:tcPr>
            <w:tcW w:w="671" w:type="pct"/>
            <w:gridSpan w:val="4"/>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376"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37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577"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2210201</w:t>
            </w:r>
          </w:p>
        </w:tc>
        <w:tc>
          <w:tcPr>
            <w:tcW w:w="1347" w:type="pct"/>
            <w:gridSpan w:val="9"/>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住房公积金</w:t>
            </w:r>
          </w:p>
        </w:tc>
        <w:tc>
          <w:tcPr>
            <w:tcW w:w="671" w:type="pct"/>
            <w:gridSpan w:val="4"/>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86.00</w:t>
            </w:r>
          </w:p>
        </w:tc>
        <w:tc>
          <w:tcPr>
            <w:tcW w:w="376"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86.00</w:t>
            </w:r>
          </w:p>
        </w:tc>
        <w:tc>
          <w:tcPr>
            <w:tcW w:w="37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377"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680" w:hRule="atLeast"/>
        </w:trPr>
        <w:tc>
          <w:tcPr>
            <w:tcW w:w="5000" w:type="pct"/>
            <w:gridSpan w:val="30"/>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注：本表反映部门本年度取得的各项收入情况。</w:t>
            </w:r>
          </w:p>
        </w:tc>
      </w:tr>
      <w:tr>
        <w:tblPrEx>
          <w:tblCellMar>
            <w:top w:w="0" w:type="dxa"/>
            <w:left w:w="108" w:type="dxa"/>
            <w:bottom w:w="0" w:type="dxa"/>
            <w:right w:w="108" w:type="dxa"/>
          </w:tblCellMar>
        </w:tblPrEx>
        <w:trPr>
          <w:trHeight w:val="581" w:hRule="atLeast"/>
        </w:trPr>
        <w:tc>
          <w:tcPr>
            <w:tcW w:w="15400" w:type="dxa"/>
            <w:gridSpan w:val="3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567" w:hRule="atLeast"/>
        </w:trPr>
        <w:tc>
          <w:tcPr>
            <w:tcW w:w="1055"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1"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1"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66" w:type="pct"/>
            <w:gridSpan w:val="5"/>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68"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51"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16"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16"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16"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63" w:type="pct"/>
            <w:gridSpan w:val="3"/>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公开03表</w:t>
            </w:r>
          </w:p>
        </w:tc>
      </w:tr>
      <w:tr>
        <w:tblPrEx>
          <w:tblCellMar>
            <w:top w:w="0" w:type="dxa"/>
            <w:left w:w="108" w:type="dxa"/>
            <w:bottom w:w="0" w:type="dxa"/>
            <w:right w:w="108" w:type="dxa"/>
          </w:tblCellMar>
        </w:tblPrEx>
        <w:trPr>
          <w:trHeight w:val="567" w:hRule="atLeast"/>
        </w:trPr>
        <w:tc>
          <w:tcPr>
            <w:tcW w:w="1055" w:type="pct"/>
            <w:gridSpan w:val="3"/>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71"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71" w:type="pct"/>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266" w:type="pct"/>
            <w:gridSpan w:val="5"/>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68" w:type="pct"/>
            <w:gridSpan w:val="2"/>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351"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16"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16"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16"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563" w:type="pct"/>
            <w:gridSpan w:val="3"/>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567" w:hRule="atLeast"/>
        </w:trPr>
        <w:tc>
          <w:tcPr>
            <w:tcW w:w="2464" w:type="pct"/>
            <w:gridSpan w:val="13"/>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项目</w:t>
            </w:r>
          </w:p>
        </w:tc>
        <w:tc>
          <w:tcPr>
            <w:tcW w:w="368" w:type="pct"/>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本年支出合计</w:t>
            </w:r>
          </w:p>
        </w:tc>
        <w:tc>
          <w:tcPr>
            <w:tcW w:w="351"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基本支出</w:t>
            </w:r>
          </w:p>
        </w:tc>
        <w:tc>
          <w:tcPr>
            <w:tcW w:w="416"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项目支出</w:t>
            </w:r>
          </w:p>
        </w:tc>
        <w:tc>
          <w:tcPr>
            <w:tcW w:w="416"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上缴上级支出</w:t>
            </w:r>
          </w:p>
        </w:tc>
        <w:tc>
          <w:tcPr>
            <w:tcW w:w="416"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经营支出</w:t>
            </w:r>
          </w:p>
        </w:tc>
        <w:tc>
          <w:tcPr>
            <w:tcW w:w="563"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对附属单位补助支出</w:t>
            </w:r>
          </w:p>
        </w:tc>
      </w:tr>
      <w:tr>
        <w:tblPrEx>
          <w:tblCellMar>
            <w:top w:w="0" w:type="dxa"/>
            <w:left w:w="108" w:type="dxa"/>
            <w:bottom w:w="0" w:type="dxa"/>
            <w:right w:w="108" w:type="dxa"/>
          </w:tblCellMar>
        </w:tblPrEx>
        <w:trPr>
          <w:trHeight w:val="567" w:hRule="atLeast"/>
        </w:trPr>
        <w:tc>
          <w:tcPr>
            <w:tcW w:w="1036" w:type="pct"/>
            <w:gridSpan w:val="2"/>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功能分类科目编码</w:t>
            </w:r>
          </w:p>
        </w:tc>
        <w:tc>
          <w:tcPr>
            <w:tcW w:w="1427" w:type="pct"/>
            <w:gridSpan w:val="11"/>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科目名称</w:t>
            </w:r>
          </w:p>
        </w:tc>
        <w:tc>
          <w:tcPr>
            <w:tcW w:w="36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51"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563"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567" w:hRule="atLeast"/>
        </w:trPr>
        <w:tc>
          <w:tcPr>
            <w:tcW w:w="1036" w:type="pct"/>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1427" w:type="pct"/>
            <w:gridSpan w:val="11"/>
            <w:vMerge w:val="continue"/>
            <w:tcBorders>
              <w:top w:val="nil"/>
              <w:left w:val="nil"/>
              <w:bottom w:val="single" w:color="000000" w:sz="4" w:space="0"/>
              <w:right w:val="single" w:color="000000" w:sz="4" w:space="0"/>
            </w:tcBorders>
            <w:shd w:val="clear" w:color="auto" w:fill="C0C0C0"/>
            <w:noWrap/>
            <w:vAlign w:val="center"/>
          </w:tcPr>
          <w:p>
            <w:pPr>
              <w:jc w:val="center"/>
              <w:rPr>
                <w:rFonts w:asciiTheme="minorEastAsia" w:hAnsiTheme="minorEastAsia" w:cstheme="minorEastAsia"/>
                <w:color w:val="000000"/>
                <w:sz w:val="22"/>
              </w:rPr>
            </w:pPr>
          </w:p>
        </w:tc>
        <w:tc>
          <w:tcPr>
            <w:tcW w:w="36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51"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563"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312" w:hRule="atLeast"/>
        </w:trPr>
        <w:tc>
          <w:tcPr>
            <w:tcW w:w="1036" w:type="pct"/>
            <w:gridSpan w:val="2"/>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1427" w:type="pct"/>
            <w:gridSpan w:val="11"/>
            <w:vMerge w:val="continue"/>
            <w:tcBorders>
              <w:top w:val="nil"/>
              <w:left w:val="nil"/>
              <w:bottom w:val="single" w:color="000000" w:sz="4" w:space="0"/>
              <w:right w:val="single" w:color="000000" w:sz="4" w:space="0"/>
            </w:tcBorders>
            <w:shd w:val="clear" w:color="auto" w:fill="C0C0C0"/>
            <w:noWrap/>
            <w:vAlign w:val="center"/>
          </w:tcPr>
          <w:p>
            <w:pPr>
              <w:jc w:val="center"/>
              <w:rPr>
                <w:rFonts w:asciiTheme="minorEastAsia" w:hAnsiTheme="minorEastAsia" w:cstheme="minorEastAsia"/>
                <w:color w:val="000000"/>
                <w:sz w:val="22"/>
              </w:rPr>
            </w:pPr>
          </w:p>
        </w:tc>
        <w:tc>
          <w:tcPr>
            <w:tcW w:w="36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351"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416"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563"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567" w:hRule="atLeast"/>
        </w:trPr>
        <w:tc>
          <w:tcPr>
            <w:tcW w:w="2464" w:type="pct"/>
            <w:gridSpan w:val="1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栏次</w:t>
            </w:r>
          </w:p>
        </w:tc>
        <w:tc>
          <w:tcPr>
            <w:tcW w:w="368" w:type="pct"/>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w:t>
            </w:r>
          </w:p>
        </w:tc>
        <w:tc>
          <w:tcPr>
            <w:tcW w:w="351"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w:t>
            </w:r>
          </w:p>
        </w:tc>
        <w:tc>
          <w:tcPr>
            <w:tcW w:w="416"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w:t>
            </w:r>
          </w:p>
        </w:tc>
        <w:tc>
          <w:tcPr>
            <w:tcW w:w="416"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4</w:t>
            </w:r>
          </w:p>
        </w:tc>
        <w:tc>
          <w:tcPr>
            <w:tcW w:w="416"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w:t>
            </w:r>
          </w:p>
        </w:tc>
        <w:tc>
          <w:tcPr>
            <w:tcW w:w="563"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w:t>
            </w:r>
          </w:p>
        </w:tc>
      </w:tr>
      <w:tr>
        <w:tblPrEx>
          <w:tblCellMar>
            <w:top w:w="0" w:type="dxa"/>
            <w:left w:w="108" w:type="dxa"/>
            <w:bottom w:w="0" w:type="dxa"/>
            <w:right w:w="108" w:type="dxa"/>
          </w:tblCellMar>
        </w:tblPrEx>
        <w:trPr>
          <w:trHeight w:val="567" w:hRule="atLeast"/>
        </w:trPr>
        <w:tc>
          <w:tcPr>
            <w:tcW w:w="2464" w:type="pct"/>
            <w:gridSpan w:val="13"/>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合计</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1,799.26</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1,639.80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159.46</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201</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一般公共服务支出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20199</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其他一般公共服务支出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2019901</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国家赔偿费用支出</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10.74</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10.74</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204</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公共安全支出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1,562.77</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1,414.05</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148.71</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20404</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检察</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1,562.77</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1,414.05</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148.71</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2040401</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行政运行</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1,386.05</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1,376.05</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2040402</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一般行政管理事务</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128.04</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128.04</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2040410</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检察监督</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48.68</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38.00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10.68</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205</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教育支出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20508</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进修及培训</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2050803</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培训支出</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3.00</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社会保障和就业支出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75.44</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75.44</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20805</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行政事业单位养老支出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64.46</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64.46</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2080505</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机关事业单位基本养老保险缴费支出</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64.46</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64.46</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20899</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其他社会保障和就业支出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10.98</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10.98</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2089999</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其他社会保障和就业支出</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10.98</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10.98</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210</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卫生健康支出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61.30</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61.30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21011</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行政事业单位医疗</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61.30</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61.30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2101101</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行政单位医疗</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59.30</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59.30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2101103</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公务员医疗补助</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2.00</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221</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住房保障支出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22102</w:t>
            </w:r>
          </w:p>
        </w:tc>
        <w:tc>
          <w:tcPr>
            <w:tcW w:w="1427" w:type="pct"/>
            <w:gridSpan w:val="11"/>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住房改革支出</w:t>
            </w:r>
          </w:p>
        </w:tc>
        <w:tc>
          <w:tcPr>
            <w:tcW w:w="368" w:type="pct"/>
            <w:gridSpan w:val="2"/>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351"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1036" w:type="pct"/>
            <w:gridSpan w:val="2"/>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2210201</w:t>
            </w:r>
          </w:p>
        </w:tc>
        <w:tc>
          <w:tcPr>
            <w:tcW w:w="1427" w:type="pct"/>
            <w:gridSpan w:val="11"/>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住房公积金</w:t>
            </w:r>
          </w:p>
        </w:tc>
        <w:tc>
          <w:tcPr>
            <w:tcW w:w="36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86.00</w:t>
            </w:r>
          </w:p>
        </w:tc>
        <w:tc>
          <w:tcPr>
            <w:tcW w:w="351"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86.00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416"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563"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4998" w:type="pct"/>
            <w:gridSpan w:val="30"/>
            <w:tcBorders>
              <w:top w:val="nil"/>
              <w:left w:val="nil"/>
              <w:bottom w:val="nil"/>
              <w:right w:val="nil"/>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注：本表反映部门本年度各项支出情况。</w:t>
            </w:r>
          </w:p>
        </w:tc>
      </w:tr>
      <w:tr>
        <w:tblPrEx>
          <w:tblCellMar>
            <w:top w:w="0" w:type="dxa"/>
            <w:left w:w="108" w:type="dxa"/>
            <w:bottom w:w="0" w:type="dxa"/>
            <w:right w:w="108" w:type="dxa"/>
          </w:tblCellMar>
        </w:tblPrEx>
        <w:trPr>
          <w:trHeight w:val="567" w:hRule="atLeast"/>
        </w:trPr>
        <w:tc>
          <w:tcPr>
            <w:tcW w:w="1083" w:type="pct"/>
            <w:gridSpan w:val="4"/>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bookmarkStart w:id="0" w:name="RANGE!A1:I22"/>
            <w:bookmarkEnd w:id="0"/>
            <w:bookmarkStart w:id="1" w:name="RANGE!A1:F16"/>
          </w:p>
        </w:tc>
        <w:tc>
          <w:tcPr>
            <w:tcW w:w="240" w:type="pct"/>
            <w:gridSpan w:val="5"/>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617"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13" w:type="pct"/>
            <w:gridSpan w:val="9"/>
            <w:tcBorders>
              <w:top w:val="nil"/>
              <w:left w:val="nil"/>
              <w:bottom w:val="nil"/>
              <w:right w:val="nil"/>
            </w:tcBorders>
            <w:shd w:val="clear" w:color="auto" w:fill="FFFFFF"/>
            <w:noWrap/>
            <w:vAlign w:val="center"/>
          </w:tcPr>
          <w:p>
            <w:pPr>
              <w:widowControl/>
              <w:jc w:val="center"/>
              <w:textAlignment w:val="center"/>
              <w:rPr>
                <w:rFonts w:ascii="华文中宋" w:hAnsi="华文中宋" w:eastAsia="华文中宋" w:cs="宋体"/>
                <w:color w:val="000000"/>
                <w:kern w:val="0"/>
                <w:sz w:val="32"/>
                <w:szCs w:val="32"/>
              </w:rPr>
            </w:pPr>
          </w:p>
          <w:p>
            <w:pPr>
              <w:widowControl/>
              <w:jc w:val="center"/>
              <w:textAlignment w:val="center"/>
              <w:rPr>
                <w:rFonts w:ascii="华文中宋" w:hAnsi="华文中宋" w:eastAsia="华文中宋" w:cs="宋体"/>
                <w:color w:val="000000"/>
                <w:kern w:val="0"/>
                <w:sz w:val="32"/>
                <w:szCs w:val="32"/>
              </w:rPr>
            </w:pPr>
          </w:p>
          <w:p>
            <w:pPr>
              <w:widowControl/>
              <w:jc w:val="center"/>
              <w:textAlignment w:val="center"/>
              <w:rPr>
                <w:rFonts w:ascii="黑体" w:hAnsi="宋体" w:eastAsia="黑体" w:cs="黑体"/>
                <w:color w:val="000000"/>
                <w:sz w:val="30"/>
                <w:szCs w:val="30"/>
              </w:rPr>
            </w:pPr>
            <w:r>
              <w:rPr>
                <w:rFonts w:hint="eastAsia" w:ascii="华文中宋" w:hAnsi="华文中宋" w:eastAsia="华文中宋" w:cs="宋体"/>
                <w:color w:val="000000"/>
                <w:kern w:val="0"/>
                <w:sz w:val="32"/>
                <w:szCs w:val="32"/>
              </w:rPr>
              <w:t>财政拨款收入支出决算总表</w:t>
            </w:r>
          </w:p>
        </w:tc>
        <w:tc>
          <w:tcPr>
            <w:tcW w:w="445"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18"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84"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96"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567" w:hRule="atLeast"/>
        </w:trPr>
        <w:tc>
          <w:tcPr>
            <w:tcW w:w="1083" w:type="pct"/>
            <w:gridSpan w:val="4"/>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240" w:type="pct"/>
            <w:gridSpan w:val="5"/>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617"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1166" w:type="pct"/>
            <w:gridSpan w:val="6"/>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247"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445"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418" w:type="pct"/>
            <w:gridSpan w:val="3"/>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780" w:type="pct"/>
            <w:gridSpan w:val="4"/>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公开04表</w:t>
            </w:r>
          </w:p>
        </w:tc>
      </w:tr>
      <w:tr>
        <w:tblPrEx>
          <w:tblCellMar>
            <w:top w:w="0" w:type="dxa"/>
            <w:left w:w="108" w:type="dxa"/>
            <w:bottom w:w="0" w:type="dxa"/>
            <w:right w:w="108" w:type="dxa"/>
          </w:tblCellMar>
        </w:tblPrEx>
        <w:trPr>
          <w:trHeight w:val="567" w:hRule="atLeast"/>
        </w:trPr>
        <w:tc>
          <w:tcPr>
            <w:tcW w:w="1083" w:type="pct"/>
            <w:gridSpan w:val="4"/>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 w:val="22"/>
              </w:rPr>
              <w:t>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240" w:type="pct"/>
            <w:gridSpan w:val="5"/>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617" w:type="pct"/>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1413" w:type="pct"/>
            <w:gridSpan w:val="9"/>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2021年度</w:t>
            </w:r>
          </w:p>
        </w:tc>
        <w:tc>
          <w:tcPr>
            <w:tcW w:w="445"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418"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780" w:type="pct"/>
            <w:gridSpan w:val="4"/>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金额单位：万元</w:t>
            </w:r>
          </w:p>
        </w:tc>
      </w:tr>
      <w:tr>
        <w:tblPrEx>
          <w:tblCellMar>
            <w:top w:w="0" w:type="dxa"/>
            <w:left w:w="108" w:type="dxa"/>
            <w:bottom w:w="0" w:type="dxa"/>
            <w:right w:w="108" w:type="dxa"/>
          </w:tblCellMar>
        </w:tblPrEx>
        <w:trPr>
          <w:trHeight w:val="567" w:hRule="atLeast"/>
        </w:trPr>
        <w:tc>
          <w:tcPr>
            <w:tcW w:w="1941" w:type="pct"/>
            <w:gridSpan w:val="11"/>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3058" w:type="pct"/>
            <w:gridSpan w:val="19"/>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108" w:type="dxa"/>
            <w:bottom w:w="0" w:type="dxa"/>
            <w:right w:w="108" w:type="dxa"/>
          </w:tblCellMar>
        </w:tblPrEx>
        <w:trPr>
          <w:trHeight w:val="312" w:hRule="atLeast"/>
        </w:trPr>
        <w:tc>
          <w:tcPr>
            <w:tcW w:w="1083" w:type="pct"/>
            <w:gridSpan w:val="4"/>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40" w:type="pct"/>
            <w:gridSpan w:val="5"/>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17" w:type="pct"/>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1166" w:type="pct"/>
            <w:gridSpan w:val="6"/>
            <w:vMerge w:val="restart"/>
            <w:tcBorders>
              <w:top w:val="nil"/>
              <w:left w:val="nil"/>
              <w:bottom w:val="single" w:color="000000" w:sz="4" w:space="0"/>
              <w:right w:val="single" w:color="000000" w:sz="4" w:space="0"/>
            </w:tcBorders>
            <w:shd w:val="clear" w:color="auto" w:fill="C0C0C0"/>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rPr>
              <w:t>项目</w:t>
            </w:r>
          </w:p>
        </w:tc>
        <w:tc>
          <w:tcPr>
            <w:tcW w:w="247"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445" w:type="pct"/>
            <w:gridSpan w:val="3"/>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418"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一般公共预算财政拨款</w:t>
            </w:r>
          </w:p>
        </w:tc>
        <w:tc>
          <w:tcPr>
            <w:tcW w:w="384"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政府性基金预算财政拨款</w:t>
            </w:r>
          </w:p>
        </w:tc>
        <w:tc>
          <w:tcPr>
            <w:tcW w:w="396"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trHeight w:val="830" w:hRule="atLeast"/>
        </w:trPr>
        <w:tc>
          <w:tcPr>
            <w:tcW w:w="1083" w:type="pct"/>
            <w:gridSpan w:val="4"/>
            <w:vMerge w:val="continue"/>
            <w:tcBorders>
              <w:top w:val="nil"/>
              <w:left w:val="single" w:color="000000" w:sz="4" w:space="0"/>
              <w:bottom w:val="single" w:color="000000" w:sz="4" w:space="0"/>
              <w:right w:val="single" w:color="000000" w:sz="4" w:space="0"/>
            </w:tcBorders>
            <w:shd w:val="clear" w:color="auto" w:fill="C0C0C0"/>
            <w:vAlign w:val="center"/>
          </w:tcPr>
          <w:p>
            <w:pPr>
              <w:rPr>
                <w:rFonts w:ascii="宋体" w:hAnsi="宋体" w:eastAsia="宋体" w:cs="宋体"/>
                <w:color w:val="000000"/>
                <w:sz w:val="22"/>
              </w:rPr>
            </w:pPr>
          </w:p>
        </w:tc>
        <w:tc>
          <w:tcPr>
            <w:tcW w:w="240" w:type="pct"/>
            <w:gridSpan w:val="5"/>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61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166" w:type="pct"/>
            <w:gridSpan w:val="6"/>
            <w:vMerge w:val="continue"/>
            <w:tcBorders>
              <w:top w:val="nil"/>
              <w:left w:val="nil"/>
              <w:bottom w:val="single" w:color="000000" w:sz="4" w:space="0"/>
              <w:right w:val="single" w:color="000000" w:sz="4" w:space="0"/>
            </w:tcBorders>
            <w:shd w:val="clear" w:color="auto" w:fill="C0C0C0"/>
            <w:vAlign w:val="bottom"/>
          </w:tcPr>
          <w:p>
            <w:pPr>
              <w:rPr>
                <w:rFonts w:ascii="宋体" w:hAnsi="宋体" w:eastAsia="宋体" w:cs="宋体"/>
                <w:color w:val="000000"/>
                <w:sz w:val="22"/>
              </w:rPr>
            </w:pPr>
          </w:p>
        </w:tc>
        <w:tc>
          <w:tcPr>
            <w:tcW w:w="247"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445" w:type="pct"/>
            <w:gridSpan w:val="3"/>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418"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384"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39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40" w:type="pct"/>
            <w:gridSpan w:val="5"/>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617" w:type="pct"/>
            <w:gridSpan w:val="2"/>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rPr>
              <w:t>栏次</w:t>
            </w:r>
          </w:p>
        </w:tc>
        <w:tc>
          <w:tcPr>
            <w:tcW w:w="247" w:type="pct"/>
            <w:gridSpan w:val="3"/>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445"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18"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384"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396"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1,422.74</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10.74</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10.74</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三、国有资本经营财政拨款</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1,189.71</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1,189.71</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72.98</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72.98</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60.00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十四、资源勘探工业信息等支出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86.00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二十一、国有资本经营预算支出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二十二、灾害防治及应急管理支出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二十三、其他支出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二十四、债务还本支出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二十五、债务付息支出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61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二十六、抗疫特别国债安排的支出</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1,422.74</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59</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1,422.44</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1,422.44</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28.77</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60</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29.07</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29.07</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一般公共预算财政拨款</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28.77</w:t>
            </w:r>
          </w:p>
        </w:tc>
        <w:tc>
          <w:tcPr>
            <w:tcW w:w="1166" w:type="pct"/>
            <w:gridSpan w:val="6"/>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61</w:t>
            </w:r>
          </w:p>
        </w:tc>
        <w:tc>
          <w:tcPr>
            <w:tcW w:w="445"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418"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384"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3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政府性基金预算财政拨款</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166" w:type="pct"/>
            <w:gridSpan w:val="6"/>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62</w:t>
            </w:r>
          </w:p>
        </w:tc>
        <w:tc>
          <w:tcPr>
            <w:tcW w:w="445"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418"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384"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3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国有资本经营预算财政拨款</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1166" w:type="pct"/>
            <w:gridSpan w:val="6"/>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2"/>
              </w:rPr>
            </w:pP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63</w:t>
            </w:r>
          </w:p>
        </w:tc>
        <w:tc>
          <w:tcPr>
            <w:tcW w:w="445"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418"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384" w:type="pct"/>
            <w:gridSpan w:val="3"/>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c>
          <w:tcPr>
            <w:tcW w:w="3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1083"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40"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17"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1,451.51</w:t>
            </w:r>
          </w:p>
        </w:tc>
        <w:tc>
          <w:tcPr>
            <w:tcW w:w="1166" w:type="pct"/>
            <w:gridSpan w:val="6"/>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247" w:type="pct"/>
            <w:gridSpan w:val="3"/>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64</w:t>
            </w:r>
          </w:p>
        </w:tc>
        <w:tc>
          <w:tcPr>
            <w:tcW w:w="445"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1,451.51</w:t>
            </w:r>
          </w:p>
        </w:tc>
        <w:tc>
          <w:tcPr>
            <w:tcW w:w="418"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1,451.51</w:t>
            </w:r>
          </w:p>
        </w:tc>
        <w:tc>
          <w:tcPr>
            <w:tcW w:w="384" w:type="pct"/>
            <w:gridSpan w:val="3"/>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r>
      <w:tr>
        <w:tblPrEx>
          <w:tblCellMar>
            <w:top w:w="0" w:type="dxa"/>
            <w:left w:w="108" w:type="dxa"/>
            <w:bottom w:w="0" w:type="dxa"/>
            <w:right w:w="108" w:type="dxa"/>
          </w:tblCellMar>
        </w:tblPrEx>
        <w:trPr>
          <w:trHeight w:val="567" w:hRule="atLeast"/>
        </w:trPr>
        <w:tc>
          <w:tcPr>
            <w:tcW w:w="4603" w:type="pct"/>
            <w:gridSpan w:val="2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注：本表反映部门本年度一般公共预算财政拨款、政府性基金预算财政拨款和国有资本经营预算财政拨款的总收支和年末结转结余情况。</w:t>
            </w:r>
          </w:p>
        </w:tc>
        <w:tc>
          <w:tcPr>
            <w:tcW w:w="396" w:type="pct"/>
            <w:tcBorders>
              <w:top w:val="nil"/>
              <w:left w:val="nil"/>
              <w:bottom w:val="nil"/>
              <w:right w:val="nil"/>
            </w:tcBorders>
            <w:shd w:val="clear" w:color="auto" w:fill="FFFFFF"/>
            <w:noWrap/>
            <w:vAlign w:val="center"/>
          </w:tcPr>
          <w:p>
            <w:pPr>
              <w:jc w:val="left"/>
              <w:rPr>
                <w:rFonts w:ascii="宋体" w:hAnsi="宋体" w:eastAsia="宋体" w:cs="宋体"/>
                <w:color w:val="000000"/>
                <w:sz w:val="22"/>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tbl>
      <w:tblPr>
        <w:tblStyle w:val="6"/>
        <w:tblW w:w="4999" w:type="pct"/>
        <w:tblInd w:w="0" w:type="dxa"/>
        <w:tblLayout w:type="autofit"/>
        <w:tblCellMar>
          <w:top w:w="0" w:type="dxa"/>
          <w:left w:w="108" w:type="dxa"/>
          <w:bottom w:w="0" w:type="dxa"/>
          <w:right w:w="108" w:type="dxa"/>
        </w:tblCellMar>
      </w:tblPr>
      <w:tblGrid>
        <w:gridCol w:w="2012"/>
        <w:gridCol w:w="1284"/>
        <w:gridCol w:w="224"/>
        <w:gridCol w:w="236"/>
        <w:gridCol w:w="3350"/>
        <w:gridCol w:w="2782"/>
        <w:gridCol w:w="2941"/>
        <w:gridCol w:w="2782"/>
      </w:tblGrid>
      <w:tr>
        <w:tblPrEx>
          <w:tblCellMar>
            <w:top w:w="0" w:type="dxa"/>
            <w:left w:w="108" w:type="dxa"/>
            <w:bottom w:w="0" w:type="dxa"/>
            <w:right w:w="108" w:type="dxa"/>
          </w:tblCellMar>
        </w:tblPrEx>
        <w:trPr>
          <w:trHeight w:val="375" w:hRule="atLeast"/>
        </w:trPr>
        <w:tc>
          <w:tcPr>
            <w:tcW w:w="5000" w:type="pct"/>
            <w:gridSpan w:val="8"/>
            <w:tcBorders>
              <w:top w:val="nil"/>
              <w:left w:val="nil"/>
              <w:bottom w:val="nil"/>
              <w:right w:val="single" w:color="808080" w:sz="4" w:space="0"/>
            </w:tcBorders>
            <w:shd w:val="clear" w:color="auto" w:fill="FFFFFF"/>
            <w:noWrap/>
            <w:vAlign w:val="center"/>
          </w:tcPr>
          <w:p>
            <w:pPr>
              <w:widowControl/>
              <w:jc w:val="center"/>
              <w:rPr>
                <w:rFonts w:ascii="宋体" w:hAnsi="宋体" w:eastAsia="宋体" w:cs="宋体"/>
                <w:color w:val="000000"/>
                <w:sz w:val="18"/>
                <w:szCs w:val="18"/>
              </w:rPr>
            </w:pPr>
            <w:r>
              <w:rPr>
                <w:rFonts w:hint="eastAsia" w:ascii="华文中宋" w:hAnsi="华文中宋" w:eastAsia="华文中宋" w:cs="宋体"/>
                <w:color w:val="000000"/>
                <w:kern w:val="0"/>
                <w:sz w:val="32"/>
                <w:szCs w:val="32"/>
              </w:rPr>
              <w:t>一般公共预算财政拨款支出决算表</w:t>
            </w:r>
          </w:p>
        </w:tc>
      </w:tr>
      <w:tr>
        <w:tblPrEx>
          <w:tblCellMar>
            <w:top w:w="0" w:type="dxa"/>
            <w:left w:w="108" w:type="dxa"/>
            <w:bottom w:w="0" w:type="dxa"/>
            <w:right w:w="108" w:type="dxa"/>
          </w:tblCellMar>
        </w:tblPrEx>
        <w:trPr>
          <w:trHeight w:val="300" w:hRule="atLeast"/>
        </w:trPr>
        <w:tc>
          <w:tcPr>
            <w:tcW w:w="1055"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2"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72"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9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942"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89"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公开05表</w:t>
            </w:r>
          </w:p>
        </w:tc>
      </w:tr>
      <w:tr>
        <w:tblPrEx>
          <w:tblCellMar>
            <w:top w:w="0" w:type="dxa"/>
            <w:left w:w="108" w:type="dxa"/>
            <w:bottom w:w="0" w:type="dxa"/>
            <w:right w:w="108" w:type="dxa"/>
          </w:tblCellMar>
        </w:tblPrEx>
        <w:trPr>
          <w:trHeight w:val="300" w:hRule="atLeast"/>
        </w:trPr>
        <w:tc>
          <w:tcPr>
            <w:tcW w:w="1055" w:type="pct"/>
            <w:gridSpan w:val="2"/>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72"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76"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905" w:type="pct"/>
            <w:gridSpan w:val="3"/>
            <w:tcBorders>
              <w:top w:val="nil"/>
              <w:left w:val="nil"/>
              <w:bottom w:val="single" w:color="808080" w:sz="4" w:space="0"/>
              <w:right w:val="nil"/>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22"/>
              </w:rPr>
              <w:t>2021年度</w:t>
            </w:r>
          </w:p>
        </w:tc>
        <w:tc>
          <w:tcPr>
            <w:tcW w:w="889" w:type="pct"/>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567" w:hRule="atLeast"/>
        </w:trPr>
        <w:tc>
          <w:tcPr>
            <w:tcW w:w="2276" w:type="pct"/>
            <w:gridSpan w:val="5"/>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项目</w:t>
            </w:r>
          </w:p>
        </w:tc>
        <w:tc>
          <w:tcPr>
            <w:tcW w:w="2723"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本年支出</w:t>
            </w:r>
          </w:p>
        </w:tc>
      </w:tr>
      <w:tr>
        <w:tblPrEx>
          <w:tblCellMar>
            <w:top w:w="0" w:type="dxa"/>
            <w:left w:w="108" w:type="dxa"/>
            <w:bottom w:w="0" w:type="dxa"/>
            <w:right w:w="108" w:type="dxa"/>
          </w:tblCellMar>
        </w:tblPrEx>
        <w:trPr>
          <w:trHeight w:val="567" w:hRule="atLeast"/>
        </w:trPr>
        <w:tc>
          <w:tcPr>
            <w:tcW w:w="644" w:type="pct"/>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功能分类科目编码</w:t>
            </w:r>
          </w:p>
        </w:tc>
        <w:tc>
          <w:tcPr>
            <w:tcW w:w="1632" w:type="pct"/>
            <w:gridSpan w:val="4"/>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科目名称</w:t>
            </w:r>
          </w:p>
        </w:tc>
        <w:tc>
          <w:tcPr>
            <w:tcW w:w="891"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小计</w:t>
            </w:r>
          </w:p>
        </w:tc>
        <w:tc>
          <w:tcPr>
            <w:tcW w:w="942"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基本支出</w:t>
            </w:r>
          </w:p>
        </w:tc>
        <w:tc>
          <w:tcPr>
            <w:tcW w:w="889"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项目支出</w:t>
            </w:r>
          </w:p>
        </w:tc>
      </w:tr>
      <w:tr>
        <w:tblPrEx>
          <w:tblCellMar>
            <w:top w:w="0" w:type="dxa"/>
            <w:left w:w="108" w:type="dxa"/>
            <w:bottom w:w="0" w:type="dxa"/>
            <w:right w:w="108" w:type="dxa"/>
          </w:tblCellMar>
        </w:tblPrEx>
        <w:trPr>
          <w:trHeight w:val="567" w:hRule="atLeast"/>
        </w:trPr>
        <w:tc>
          <w:tcPr>
            <w:tcW w:w="644"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1632" w:type="pct"/>
            <w:gridSpan w:val="4"/>
            <w:vMerge w:val="continue"/>
            <w:tcBorders>
              <w:top w:val="nil"/>
              <w:left w:val="nil"/>
              <w:bottom w:val="single" w:color="000000" w:sz="4" w:space="0"/>
              <w:right w:val="single" w:color="000000" w:sz="4" w:space="0"/>
            </w:tcBorders>
            <w:shd w:val="clear" w:color="auto" w:fill="C0C0C0"/>
            <w:noWrap/>
            <w:vAlign w:val="center"/>
          </w:tcPr>
          <w:p>
            <w:pPr>
              <w:jc w:val="center"/>
              <w:rPr>
                <w:rFonts w:asciiTheme="minorEastAsia" w:hAnsiTheme="minorEastAsia" w:cstheme="minorEastAsia"/>
                <w:color w:val="000000"/>
                <w:sz w:val="22"/>
              </w:rPr>
            </w:pPr>
          </w:p>
        </w:tc>
        <w:tc>
          <w:tcPr>
            <w:tcW w:w="891"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942"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889"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312" w:hRule="atLeast"/>
        </w:trPr>
        <w:tc>
          <w:tcPr>
            <w:tcW w:w="644"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1632" w:type="pct"/>
            <w:gridSpan w:val="4"/>
            <w:vMerge w:val="continue"/>
            <w:tcBorders>
              <w:top w:val="nil"/>
              <w:left w:val="nil"/>
              <w:bottom w:val="single" w:color="000000" w:sz="4" w:space="0"/>
              <w:right w:val="single" w:color="000000" w:sz="4" w:space="0"/>
            </w:tcBorders>
            <w:shd w:val="clear" w:color="auto" w:fill="C0C0C0"/>
            <w:noWrap/>
            <w:vAlign w:val="center"/>
          </w:tcPr>
          <w:p>
            <w:pPr>
              <w:jc w:val="center"/>
              <w:rPr>
                <w:rFonts w:asciiTheme="minorEastAsia" w:hAnsiTheme="minorEastAsia" w:cstheme="minorEastAsia"/>
                <w:color w:val="000000"/>
                <w:sz w:val="22"/>
              </w:rPr>
            </w:pPr>
          </w:p>
        </w:tc>
        <w:tc>
          <w:tcPr>
            <w:tcW w:w="891"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942"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c>
          <w:tcPr>
            <w:tcW w:w="889"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inorEastAsia" w:hAnsiTheme="minorEastAsia" w:cstheme="minorEastAsia"/>
                <w:color w:val="000000"/>
                <w:sz w:val="22"/>
              </w:rPr>
            </w:pPr>
          </w:p>
        </w:tc>
      </w:tr>
      <w:tr>
        <w:tblPrEx>
          <w:tblCellMar>
            <w:top w:w="0" w:type="dxa"/>
            <w:left w:w="108" w:type="dxa"/>
            <w:bottom w:w="0" w:type="dxa"/>
            <w:right w:w="108" w:type="dxa"/>
          </w:tblCellMar>
        </w:tblPrEx>
        <w:trPr>
          <w:trHeight w:val="567" w:hRule="atLeast"/>
        </w:trPr>
        <w:tc>
          <w:tcPr>
            <w:tcW w:w="2276" w:type="pct"/>
            <w:gridSpan w:val="5"/>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栏次</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w:t>
            </w:r>
          </w:p>
        </w:tc>
      </w:tr>
      <w:tr>
        <w:tblPrEx>
          <w:tblCellMar>
            <w:top w:w="0" w:type="dxa"/>
            <w:left w:w="108" w:type="dxa"/>
            <w:bottom w:w="0" w:type="dxa"/>
            <w:right w:w="108" w:type="dxa"/>
          </w:tblCellMar>
        </w:tblPrEx>
        <w:trPr>
          <w:trHeight w:val="567" w:hRule="atLeast"/>
        </w:trPr>
        <w:tc>
          <w:tcPr>
            <w:tcW w:w="2276" w:type="pct"/>
            <w:gridSpan w:val="5"/>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合计</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1,422.44</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1,262.98</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159.46</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201</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一般公共服务支出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20199</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其他一般公共服务支出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10.74</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2019901</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国家赔偿费用支出</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10.74</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10.74</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204</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公共安全支出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1,189.71</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1,040.99</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148.71</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20404</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检察</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1,189.71</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1,040.99</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148.71</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2040401</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行政运行</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1,012.99</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1,002.99</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2040402</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一般行政管理事务</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128.04</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128.04</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2040410</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检察监督</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48.68</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38.00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10.68</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205</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教育支出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20508</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进修及培训</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3.00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2050803</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培训支出</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3.00</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3.00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社会保障和就业支出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72.98</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72.98</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20805</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行政事业单位养老支出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62.00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62.00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2080505</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机关事业单位基本养老保险缴费支出</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62.00</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62.00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20899</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其他社会保障和就业支出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10.98</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10.98</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2089999</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其他社会保障和就业支出</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10.98</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10.98</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210</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卫生健康支出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60.00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60.00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21011</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行政事业单位医疗</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60.00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60.00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2101101</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行政单位医疗</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58.00</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58.00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2101103</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公务员医疗补助</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2.00</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221</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住房保障支出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22102</w:t>
            </w:r>
          </w:p>
        </w:tc>
        <w:tc>
          <w:tcPr>
            <w:tcW w:w="1632" w:type="pct"/>
            <w:gridSpan w:val="4"/>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住房改革支出</w:t>
            </w:r>
          </w:p>
        </w:tc>
        <w:tc>
          <w:tcPr>
            <w:tcW w:w="891"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94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86.00</w:t>
            </w:r>
          </w:p>
        </w:tc>
        <w:tc>
          <w:tcPr>
            <w:tcW w:w="88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Theme="minorEastAsia" w:hAnsiTheme="minorEastAsia" w:cstheme="minorEastAsia"/>
                <w:b/>
                <w:color w:val="000000"/>
                <w:sz w:val="22"/>
              </w:rPr>
            </w:pPr>
            <w:r>
              <w:rPr>
                <w:rFonts w:hint="eastAsia" w:asciiTheme="minorEastAsia" w:hAnsiTheme="minorEastAsia" w:cstheme="minorEastAsia"/>
                <w:b/>
                <w:color w:val="000000"/>
                <w:kern w:val="0"/>
                <w:sz w:val="22"/>
              </w:rPr>
              <w:t>0.00</w:t>
            </w:r>
          </w:p>
        </w:tc>
      </w:tr>
      <w:tr>
        <w:tblPrEx>
          <w:tblCellMar>
            <w:top w:w="0" w:type="dxa"/>
            <w:left w:w="108" w:type="dxa"/>
            <w:bottom w:w="0" w:type="dxa"/>
            <w:right w:w="108" w:type="dxa"/>
          </w:tblCellMar>
        </w:tblPrEx>
        <w:trPr>
          <w:trHeight w:val="567" w:hRule="atLeast"/>
        </w:trPr>
        <w:tc>
          <w:tcPr>
            <w:tcW w:w="644" w:type="pct"/>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2210201</w:t>
            </w:r>
          </w:p>
        </w:tc>
        <w:tc>
          <w:tcPr>
            <w:tcW w:w="1632" w:type="pct"/>
            <w:gridSpan w:val="4"/>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 xml:space="preserve">  住房公积金</w:t>
            </w:r>
          </w:p>
        </w:tc>
        <w:tc>
          <w:tcPr>
            <w:tcW w:w="89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86.00</w:t>
            </w:r>
          </w:p>
        </w:tc>
        <w:tc>
          <w:tcPr>
            <w:tcW w:w="94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86.00</w:t>
            </w:r>
          </w:p>
        </w:tc>
        <w:tc>
          <w:tcPr>
            <w:tcW w:w="88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0.00</w:t>
            </w:r>
          </w:p>
        </w:tc>
      </w:tr>
      <w:tr>
        <w:tblPrEx>
          <w:tblCellMar>
            <w:top w:w="0" w:type="dxa"/>
            <w:left w:w="108" w:type="dxa"/>
            <w:bottom w:w="0" w:type="dxa"/>
            <w:right w:w="108" w:type="dxa"/>
          </w:tblCellMar>
        </w:tblPrEx>
        <w:trPr>
          <w:trHeight w:val="567" w:hRule="atLeast"/>
        </w:trPr>
        <w:tc>
          <w:tcPr>
            <w:tcW w:w="5000" w:type="pct"/>
            <w:gridSpan w:val="8"/>
            <w:tcBorders>
              <w:top w:val="nil"/>
              <w:left w:val="nil"/>
              <w:bottom w:val="nil"/>
              <w:right w:val="nil"/>
            </w:tcBorders>
            <w:shd w:val="clear" w:color="auto" w:fill="FFFFFF"/>
            <w:noWrap/>
            <w:vAlign w:val="center"/>
          </w:tcPr>
          <w:p>
            <w:pPr>
              <w:widowControl/>
              <w:jc w:val="left"/>
              <w:textAlignment w:val="center"/>
              <w:rPr>
                <w:rFonts w:asciiTheme="minorEastAsia" w:hAnsiTheme="minorEastAsia" w:cstheme="minorEastAsia"/>
                <w:color w:val="000000"/>
                <w:sz w:val="22"/>
              </w:rPr>
            </w:pPr>
            <w:r>
              <w:rPr>
                <w:rFonts w:hint="eastAsia" w:asciiTheme="minorEastAsia" w:hAnsiTheme="minorEastAsia" w:cstheme="minorEastAsia"/>
                <w:color w:val="000000"/>
                <w:kern w:val="0"/>
                <w:sz w:val="22"/>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5000" w:type="pct"/>
        <w:tblInd w:w="0" w:type="dxa"/>
        <w:tblLayout w:type="fixed"/>
        <w:tblCellMar>
          <w:top w:w="0" w:type="dxa"/>
          <w:left w:w="108" w:type="dxa"/>
          <w:bottom w:w="0" w:type="dxa"/>
          <w:right w:w="108" w:type="dxa"/>
        </w:tblCellMar>
      </w:tblPr>
      <w:tblGrid>
        <w:gridCol w:w="835"/>
        <w:gridCol w:w="3491"/>
        <w:gridCol w:w="943"/>
        <w:gridCol w:w="771"/>
        <w:gridCol w:w="2720"/>
        <w:gridCol w:w="921"/>
        <w:gridCol w:w="749"/>
        <w:gridCol w:w="2914"/>
        <w:gridCol w:w="106"/>
        <w:gridCol w:w="1268"/>
        <w:gridCol w:w="896"/>
      </w:tblGrid>
      <w:tr>
        <w:tblPrEx>
          <w:tblCellMar>
            <w:top w:w="0" w:type="dxa"/>
            <w:left w:w="108" w:type="dxa"/>
            <w:bottom w:w="0" w:type="dxa"/>
            <w:right w:w="108" w:type="dxa"/>
          </w:tblCellMar>
        </w:tblPrEx>
        <w:trPr>
          <w:trHeight w:val="567" w:hRule="atLeast"/>
        </w:trPr>
        <w:tc>
          <w:tcPr>
            <w:tcW w:w="5000" w:type="pct"/>
            <w:gridSpan w:val="11"/>
            <w:tcBorders>
              <w:top w:val="nil"/>
              <w:left w:val="nil"/>
              <w:bottom w:val="nil"/>
              <w:right w:val="single" w:color="808080" w:sz="4" w:space="0"/>
            </w:tcBorders>
            <w:shd w:val="clear" w:color="auto" w:fill="FFFFFF"/>
            <w:noWrap/>
            <w:vAlign w:val="center"/>
          </w:tcPr>
          <w:p>
            <w:pPr>
              <w:widowControl/>
              <w:jc w:val="center"/>
              <w:rPr>
                <w:rFonts w:asciiTheme="majorEastAsia" w:hAnsiTheme="majorEastAsia" w:eastAsiaTheme="majorEastAsia" w:cstheme="majorEastAsia"/>
                <w:color w:val="000000"/>
                <w:sz w:val="22"/>
              </w:rPr>
            </w:pPr>
            <w:r>
              <w:rPr>
                <w:rFonts w:hint="eastAsia" w:ascii="华文中宋" w:hAnsi="华文中宋" w:eastAsia="华文中宋" w:cs="宋体"/>
                <w:color w:val="000000"/>
                <w:kern w:val="0"/>
                <w:sz w:val="32"/>
                <w:szCs w:val="32"/>
              </w:rPr>
              <w:t>一般公共预算财政拨款基本支出决算明细表</w:t>
            </w:r>
          </w:p>
        </w:tc>
      </w:tr>
      <w:tr>
        <w:tblPrEx>
          <w:tblCellMar>
            <w:top w:w="0" w:type="dxa"/>
            <w:left w:w="108" w:type="dxa"/>
            <w:bottom w:w="0" w:type="dxa"/>
            <w:right w:w="108" w:type="dxa"/>
          </w:tblCellMar>
        </w:tblPrEx>
        <w:trPr>
          <w:trHeight w:val="510" w:hRule="atLeast"/>
        </w:trPr>
        <w:tc>
          <w:tcPr>
            <w:tcW w:w="267"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1118"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301"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247"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871"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295"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240" w:type="pct"/>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967" w:type="pct"/>
            <w:gridSpan w:val="2"/>
            <w:tcBorders>
              <w:top w:val="nil"/>
              <w:left w:val="nil"/>
              <w:bottom w:val="nil"/>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691" w:type="pct"/>
            <w:gridSpan w:val="2"/>
            <w:tcBorders>
              <w:top w:val="nil"/>
              <w:left w:val="nil"/>
              <w:bottom w:val="nil"/>
              <w:right w:val="single" w:color="80808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kern w:val="0"/>
                <w:sz w:val="22"/>
              </w:rPr>
              <w:t>公开06表</w:t>
            </w:r>
          </w:p>
        </w:tc>
      </w:tr>
      <w:tr>
        <w:tblPrEx>
          <w:tblCellMar>
            <w:top w:w="0" w:type="dxa"/>
            <w:left w:w="108" w:type="dxa"/>
            <w:bottom w:w="0" w:type="dxa"/>
            <w:right w:w="108" w:type="dxa"/>
          </w:tblCellMar>
        </w:tblPrEx>
        <w:trPr>
          <w:trHeight w:val="510" w:hRule="atLeast"/>
        </w:trPr>
        <w:tc>
          <w:tcPr>
            <w:tcW w:w="1385" w:type="pct"/>
            <w:gridSpan w:val="2"/>
            <w:tcBorders>
              <w:top w:val="nil"/>
              <w:left w:val="nil"/>
              <w:bottom w:val="single" w:color="808080" w:sz="4" w:space="0"/>
              <w:right w:val="nil"/>
            </w:tcBorders>
            <w:shd w:val="clear" w:color="auto" w:fill="FFFFFF"/>
            <w:noWrap/>
            <w:vAlign w:val="center"/>
          </w:tcPr>
          <w:p>
            <w:pPr>
              <w:jc w:val="left"/>
              <w:rPr>
                <w:rFonts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kern w:val="0"/>
                <w:sz w:val="22"/>
              </w:rPr>
              <w:t>部门：</w:t>
            </w:r>
            <w:r>
              <w:rPr>
                <w:rFonts w:hint="eastAsia" w:ascii="宋体" w:hAnsi="宋体" w:eastAsia="宋体" w:cs="宋体"/>
                <w:color w:val="000000"/>
                <w:kern w:val="0"/>
                <w:sz w:val="22"/>
              </w:rPr>
              <w:t>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301" w:type="pct"/>
            <w:tcBorders>
              <w:top w:val="nil"/>
              <w:left w:val="nil"/>
              <w:bottom w:val="single" w:color="808080" w:sz="4" w:space="0"/>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247" w:type="pct"/>
            <w:tcBorders>
              <w:top w:val="nil"/>
              <w:left w:val="nil"/>
              <w:bottom w:val="single" w:color="808080" w:sz="4" w:space="0"/>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871" w:type="pct"/>
            <w:tcBorders>
              <w:top w:val="nil"/>
              <w:left w:val="nil"/>
              <w:bottom w:val="single" w:color="808080" w:sz="4" w:space="0"/>
              <w:right w:val="nil"/>
            </w:tcBorders>
            <w:shd w:val="clear" w:color="auto" w:fill="FFFFFF"/>
            <w:noWrap/>
            <w:vAlign w:val="center"/>
          </w:tcPr>
          <w:p>
            <w:pPr>
              <w:jc w:val="center"/>
              <w:rPr>
                <w:rFonts w:asciiTheme="majorEastAsia" w:hAnsiTheme="majorEastAsia" w:eastAsiaTheme="majorEastAsia" w:cstheme="majorEastAsia"/>
                <w:color w:val="000000"/>
                <w:sz w:val="22"/>
              </w:rPr>
            </w:pPr>
          </w:p>
        </w:tc>
        <w:tc>
          <w:tcPr>
            <w:tcW w:w="295" w:type="pct"/>
            <w:tcBorders>
              <w:top w:val="nil"/>
              <w:left w:val="nil"/>
              <w:bottom w:val="single" w:color="808080" w:sz="4" w:space="0"/>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240" w:type="pct"/>
            <w:tcBorders>
              <w:top w:val="nil"/>
              <w:left w:val="nil"/>
              <w:bottom w:val="single" w:color="808080" w:sz="4" w:space="0"/>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933" w:type="pct"/>
            <w:tcBorders>
              <w:top w:val="nil"/>
              <w:left w:val="nil"/>
              <w:bottom w:val="single" w:color="808080" w:sz="4" w:space="0"/>
              <w:right w:val="nil"/>
            </w:tcBorders>
            <w:shd w:val="clear" w:color="auto" w:fill="FFFFFF"/>
            <w:noWrap/>
            <w:vAlign w:val="center"/>
          </w:tcPr>
          <w:p>
            <w:pPr>
              <w:jc w:val="left"/>
              <w:rPr>
                <w:rFonts w:asciiTheme="majorEastAsia" w:hAnsiTheme="majorEastAsia" w:eastAsiaTheme="majorEastAsia" w:cstheme="majorEastAsia"/>
                <w:color w:val="000000"/>
                <w:sz w:val="22"/>
              </w:rPr>
            </w:pPr>
          </w:p>
        </w:tc>
        <w:tc>
          <w:tcPr>
            <w:tcW w:w="725" w:type="pct"/>
            <w:gridSpan w:val="3"/>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 w:val="22"/>
              </w:rPr>
            </w:pPr>
            <w:r>
              <w:rPr>
                <w:rFonts w:hint="eastAsia" w:asciiTheme="majorEastAsia" w:hAnsiTheme="majorEastAsia" w:eastAsiaTheme="majorEastAsia" w:cstheme="majorEastAsia"/>
                <w:color w:val="000000"/>
                <w:kern w:val="0"/>
                <w:sz w:val="22"/>
              </w:rPr>
              <w:t>金额单位：万元</w:t>
            </w:r>
          </w:p>
        </w:tc>
      </w:tr>
      <w:tr>
        <w:tblPrEx>
          <w:tblCellMar>
            <w:top w:w="0" w:type="dxa"/>
            <w:left w:w="108" w:type="dxa"/>
            <w:bottom w:w="0" w:type="dxa"/>
            <w:right w:w="108" w:type="dxa"/>
          </w:tblCellMar>
        </w:tblPrEx>
        <w:trPr>
          <w:trHeight w:val="510" w:hRule="atLeast"/>
        </w:trPr>
        <w:tc>
          <w:tcPr>
            <w:tcW w:w="1687"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人员经费</w:t>
            </w:r>
          </w:p>
        </w:tc>
        <w:tc>
          <w:tcPr>
            <w:tcW w:w="3312" w:type="pct"/>
            <w:gridSpan w:val="8"/>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公用经费</w:t>
            </w:r>
          </w:p>
        </w:tc>
      </w:tr>
      <w:tr>
        <w:tblPrEx>
          <w:tblCellMar>
            <w:top w:w="0" w:type="dxa"/>
            <w:left w:w="108" w:type="dxa"/>
            <w:bottom w:w="0" w:type="dxa"/>
            <w:right w:w="108" w:type="dxa"/>
          </w:tblCellMar>
        </w:tblPrEx>
        <w:trPr>
          <w:trHeight w:val="567" w:hRule="atLeast"/>
        </w:trPr>
        <w:tc>
          <w:tcPr>
            <w:tcW w:w="267" w:type="pct"/>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科目编码</w:t>
            </w:r>
          </w:p>
        </w:tc>
        <w:tc>
          <w:tcPr>
            <w:tcW w:w="1118"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科目名称</w:t>
            </w:r>
          </w:p>
        </w:tc>
        <w:tc>
          <w:tcPr>
            <w:tcW w:w="301"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决算数</w:t>
            </w:r>
          </w:p>
        </w:tc>
        <w:tc>
          <w:tcPr>
            <w:tcW w:w="247"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科目编码</w:t>
            </w:r>
          </w:p>
        </w:tc>
        <w:tc>
          <w:tcPr>
            <w:tcW w:w="871"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科目名称</w:t>
            </w:r>
          </w:p>
        </w:tc>
        <w:tc>
          <w:tcPr>
            <w:tcW w:w="295"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决算数</w:t>
            </w:r>
          </w:p>
        </w:tc>
        <w:tc>
          <w:tcPr>
            <w:tcW w:w="240"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科目编码</w:t>
            </w:r>
          </w:p>
        </w:tc>
        <w:tc>
          <w:tcPr>
            <w:tcW w:w="1372" w:type="pct"/>
            <w:gridSpan w:val="3"/>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科目名称</w:t>
            </w:r>
          </w:p>
        </w:tc>
        <w:tc>
          <w:tcPr>
            <w:tcW w:w="286"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决算数</w:t>
            </w:r>
          </w:p>
        </w:tc>
      </w:tr>
      <w:tr>
        <w:tblPrEx>
          <w:tblCellMar>
            <w:top w:w="0" w:type="dxa"/>
            <w:left w:w="108" w:type="dxa"/>
            <w:bottom w:w="0" w:type="dxa"/>
            <w:right w:w="108" w:type="dxa"/>
          </w:tblCellMar>
        </w:tblPrEx>
        <w:trPr>
          <w:trHeight w:val="393" w:hRule="atLeast"/>
        </w:trPr>
        <w:tc>
          <w:tcPr>
            <w:tcW w:w="267"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1118"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301"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247"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871"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295"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240"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1372" w:type="pct"/>
            <w:gridSpan w:val="3"/>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c>
          <w:tcPr>
            <w:tcW w:w="286" w:type="pct"/>
            <w:vMerge w:val="continue"/>
            <w:tcBorders>
              <w:top w:val="nil"/>
              <w:left w:val="nil"/>
              <w:bottom w:val="single" w:color="000000" w:sz="4" w:space="0"/>
              <w:right w:val="single" w:color="000000" w:sz="4" w:space="0"/>
            </w:tcBorders>
            <w:shd w:val="clear" w:color="auto" w:fill="C0C0C0"/>
            <w:vAlign w:val="center"/>
          </w:tcPr>
          <w:p>
            <w:pPr>
              <w:jc w:val="center"/>
              <w:rPr>
                <w:rFonts w:asciiTheme="majorEastAsia" w:hAnsiTheme="majorEastAsia" w:eastAsiaTheme="majorEastAsia" w:cstheme="majorEastAsia"/>
                <w:color w:val="000000"/>
                <w:szCs w:val="21"/>
              </w:rPr>
            </w:pP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工资福利支出</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742.94</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商品和服务支出</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510.73</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307</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债务利息及费用支出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30101</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基本工资</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224.88</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30201</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办公费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70.30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30701</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国内债务付息</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30102</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津贴补贴</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160.66</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30202</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印刷费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7.99</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30702</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国外债务付息</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30103</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奖金</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135.02</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30203</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咨询费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资本性支出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30106</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伙食补助费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30204</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手续费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31001</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房屋建筑物购建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30107</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绩效工资</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30205</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水费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2.47</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31002</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办公设备购置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30108</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机关事业单位基本养老保险缴费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62.00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30206</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电费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18.95</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31003</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专用设备购置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30109</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职业年金缴费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30207</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邮电费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20.40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31005</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基础设施建设</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30110</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职工基本医疗保险缴费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58.00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30208</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取暖费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31006</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大型修缮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30111</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公务员医疗补助缴费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30209</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物业管理费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32.98</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31007</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信息网络及软件购置更新</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30112</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其他社会保障缴费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10.98</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30211</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差旅费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25.29</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31008</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物资储备</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30113</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住房公积金</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86.00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30212</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因公出国（境）费用</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31009</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土地补偿</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30114</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医疗费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30213</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维修（护）费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50.10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31010</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安置补助</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30199</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其他工资福利支出</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3.40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30214</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租赁费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31011</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地上附着物和青苗补偿</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对个人和家庭的补助</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9.30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30215</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会议费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0.35</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31012</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拆迁补偿</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30301</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离休费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30216</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培训费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31013</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公务用车购置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30302</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退休费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30217</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公务接待费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1.82</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31019</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其他交通工具购置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30303</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退职（役）费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30218</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专用材料费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31021</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文物和陈列品购置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30304</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抚恤金</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30224</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被装购置费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31022</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无形资产购置</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30305</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生活补助</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7.51</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30225</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专用燃料费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31099</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其他资本性支出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30306</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救济费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30226</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劳务费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113.91</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399</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其他支出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30307</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医疗费补助</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30227</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委托业务费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39906</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赠与</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30308</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助学金</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30228</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工会经费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17.00</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39907</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国家赔偿费用支出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30309</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奖励金</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30229</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福利费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15.02</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39908</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对民间非营利组织和群众性自治组织补贴</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30310</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个人农业生产补贴</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30231</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公务用车运行维护费</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21.84</w:t>
            </w:r>
          </w:p>
        </w:tc>
        <w:tc>
          <w:tcPr>
            <w:tcW w:w="24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39999</w:t>
            </w:r>
          </w:p>
        </w:tc>
        <w:tc>
          <w:tcPr>
            <w:tcW w:w="1372" w:type="pct"/>
            <w:gridSpan w:val="3"/>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其他支出</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30311</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代缴社会保险费</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30239</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其他交通费用</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36.64</w:t>
            </w:r>
          </w:p>
        </w:tc>
        <w:tc>
          <w:tcPr>
            <w:tcW w:w="240" w:type="pct"/>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1372" w:type="pct"/>
            <w:gridSpan w:val="3"/>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286" w:type="pct"/>
            <w:tcBorders>
              <w:top w:val="nil"/>
              <w:left w:val="nil"/>
              <w:bottom w:val="single" w:color="000000" w:sz="4" w:space="0"/>
              <w:right w:val="single" w:color="000000" w:sz="4" w:space="0"/>
            </w:tcBorders>
            <w:shd w:val="clear" w:color="auto" w:fill="FFFFFF"/>
            <w:noWrap/>
            <w:vAlign w:val="center"/>
          </w:tcPr>
          <w:p>
            <w:pPr>
              <w:jc w:val="right"/>
              <w:rPr>
                <w:rFonts w:asciiTheme="majorEastAsia" w:hAnsiTheme="majorEastAsia" w:eastAsiaTheme="majorEastAsia" w:cstheme="majorEastAsia"/>
                <w:color w:val="000000"/>
                <w:szCs w:val="21"/>
              </w:rPr>
            </w:pP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30399</w:t>
            </w:r>
          </w:p>
        </w:tc>
        <w:tc>
          <w:tcPr>
            <w:tcW w:w="111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其他对个人和家庭的补助</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1.79</w:t>
            </w: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30240</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税金及附加费用</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0.00</w:t>
            </w:r>
          </w:p>
        </w:tc>
        <w:tc>
          <w:tcPr>
            <w:tcW w:w="240" w:type="pct"/>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1372" w:type="pct"/>
            <w:gridSpan w:val="3"/>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286" w:type="pct"/>
            <w:tcBorders>
              <w:top w:val="nil"/>
              <w:left w:val="nil"/>
              <w:bottom w:val="single" w:color="000000" w:sz="4" w:space="0"/>
              <w:right w:val="single" w:color="000000" w:sz="4" w:space="0"/>
            </w:tcBorders>
            <w:shd w:val="clear" w:color="auto" w:fill="FFFFFF"/>
            <w:noWrap/>
            <w:vAlign w:val="center"/>
          </w:tcPr>
          <w:p>
            <w:pPr>
              <w:jc w:val="right"/>
              <w:rPr>
                <w:rFonts w:asciiTheme="majorEastAsia" w:hAnsiTheme="majorEastAsia" w:eastAsiaTheme="majorEastAsia" w:cstheme="majorEastAsia"/>
                <w:color w:val="000000"/>
                <w:szCs w:val="21"/>
              </w:rPr>
            </w:pPr>
          </w:p>
        </w:tc>
      </w:tr>
      <w:tr>
        <w:tblPrEx>
          <w:tblCellMar>
            <w:top w:w="0" w:type="dxa"/>
            <w:left w:w="108" w:type="dxa"/>
            <w:bottom w:w="0" w:type="dxa"/>
            <w:right w:w="108" w:type="dxa"/>
          </w:tblCellMar>
        </w:tblPrEx>
        <w:trPr>
          <w:trHeight w:val="567" w:hRule="atLeast"/>
        </w:trPr>
        <w:tc>
          <w:tcPr>
            <w:tcW w:w="26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1118" w:type="pct"/>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301" w:type="pct"/>
            <w:tcBorders>
              <w:top w:val="nil"/>
              <w:left w:val="nil"/>
              <w:bottom w:val="single" w:color="000000" w:sz="4" w:space="0"/>
              <w:right w:val="single" w:color="000000" w:sz="4" w:space="0"/>
            </w:tcBorders>
            <w:shd w:val="clear" w:color="auto" w:fill="FFFFFF"/>
            <w:noWrap/>
            <w:vAlign w:val="center"/>
          </w:tcPr>
          <w:p>
            <w:pPr>
              <w:jc w:val="right"/>
              <w:rPr>
                <w:rFonts w:asciiTheme="majorEastAsia" w:hAnsiTheme="majorEastAsia" w:eastAsiaTheme="majorEastAsia" w:cstheme="majorEastAsia"/>
                <w:color w:val="000000"/>
                <w:szCs w:val="21"/>
              </w:rPr>
            </w:pPr>
          </w:p>
        </w:tc>
        <w:tc>
          <w:tcPr>
            <w:tcW w:w="247"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30299</w:t>
            </w:r>
          </w:p>
        </w:tc>
        <w:tc>
          <w:tcPr>
            <w:tcW w:w="87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 xml:space="preserve">  其他商品和服务支出</w:t>
            </w:r>
          </w:p>
        </w:tc>
        <w:tc>
          <w:tcPr>
            <w:tcW w:w="295"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72.68</w:t>
            </w:r>
          </w:p>
        </w:tc>
        <w:tc>
          <w:tcPr>
            <w:tcW w:w="240" w:type="pct"/>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1372" w:type="pct"/>
            <w:gridSpan w:val="3"/>
            <w:tcBorders>
              <w:top w:val="nil"/>
              <w:left w:val="nil"/>
              <w:bottom w:val="single" w:color="000000" w:sz="4" w:space="0"/>
              <w:right w:val="single" w:color="000000" w:sz="4" w:space="0"/>
            </w:tcBorders>
            <w:shd w:val="clear" w:color="auto" w:fill="C0C0C0"/>
            <w:noWrap/>
            <w:vAlign w:val="center"/>
          </w:tcPr>
          <w:p>
            <w:pPr>
              <w:jc w:val="left"/>
              <w:rPr>
                <w:rFonts w:asciiTheme="majorEastAsia" w:hAnsiTheme="majorEastAsia" w:eastAsiaTheme="majorEastAsia" w:cstheme="majorEastAsia"/>
                <w:color w:val="000000"/>
                <w:szCs w:val="21"/>
              </w:rPr>
            </w:pPr>
          </w:p>
        </w:tc>
        <w:tc>
          <w:tcPr>
            <w:tcW w:w="286" w:type="pct"/>
            <w:tcBorders>
              <w:top w:val="nil"/>
              <w:left w:val="nil"/>
              <w:bottom w:val="single" w:color="000000" w:sz="4" w:space="0"/>
              <w:right w:val="single" w:color="000000" w:sz="4" w:space="0"/>
            </w:tcBorders>
            <w:shd w:val="clear" w:color="auto" w:fill="FFFFFF"/>
            <w:noWrap/>
            <w:vAlign w:val="center"/>
          </w:tcPr>
          <w:p>
            <w:pPr>
              <w:jc w:val="right"/>
              <w:rPr>
                <w:rFonts w:asciiTheme="majorEastAsia" w:hAnsiTheme="majorEastAsia" w:eastAsiaTheme="majorEastAsia" w:cstheme="majorEastAsia"/>
                <w:color w:val="000000"/>
                <w:szCs w:val="21"/>
              </w:rPr>
            </w:pPr>
          </w:p>
        </w:tc>
      </w:tr>
      <w:tr>
        <w:tblPrEx>
          <w:tblCellMar>
            <w:top w:w="0" w:type="dxa"/>
            <w:left w:w="108" w:type="dxa"/>
            <w:bottom w:w="0" w:type="dxa"/>
            <w:right w:w="108" w:type="dxa"/>
          </w:tblCellMar>
        </w:tblPrEx>
        <w:trPr>
          <w:trHeight w:val="567" w:hRule="atLeast"/>
        </w:trPr>
        <w:tc>
          <w:tcPr>
            <w:tcW w:w="1385"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人员经费合计</w:t>
            </w:r>
          </w:p>
        </w:tc>
        <w:tc>
          <w:tcPr>
            <w:tcW w:w="30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752.25</w:t>
            </w:r>
          </w:p>
        </w:tc>
        <w:tc>
          <w:tcPr>
            <w:tcW w:w="3026" w:type="pct"/>
            <w:gridSpan w:val="7"/>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公用经费合计</w:t>
            </w:r>
          </w:p>
        </w:tc>
        <w:tc>
          <w:tcPr>
            <w:tcW w:w="28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510.73</w:t>
            </w:r>
          </w:p>
        </w:tc>
      </w:tr>
      <w:tr>
        <w:tblPrEx>
          <w:tblCellMar>
            <w:top w:w="0" w:type="dxa"/>
            <w:left w:w="108" w:type="dxa"/>
            <w:bottom w:w="0" w:type="dxa"/>
            <w:right w:w="108" w:type="dxa"/>
          </w:tblCellMar>
        </w:tblPrEx>
        <w:trPr>
          <w:trHeight w:val="567" w:hRule="atLeast"/>
        </w:trPr>
        <w:tc>
          <w:tcPr>
            <w:tcW w:w="5000" w:type="pct"/>
            <w:gridSpan w:val="11"/>
            <w:tcBorders>
              <w:top w:val="nil"/>
              <w:left w:val="nil"/>
              <w:bottom w:val="nil"/>
              <w:right w:val="nil"/>
            </w:tcBorders>
            <w:shd w:val="clear" w:color="auto" w:fill="FFFFFF"/>
            <w:noWrap/>
            <w:vAlign w:val="center"/>
          </w:tcPr>
          <w:p>
            <w:pPr>
              <w:widowControl/>
              <w:jc w:val="left"/>
              <w:textAlignment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kern w:val="0"/>
                <w:szCs w:val="21"/>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p>
    <w:tbl>
      <w:tblPr>
        <w:tblStyle w:val="6"/>
        <w:tblW w:w="5000" w:type="pct"/>
        <w:tblInd w:w="0" w:type="dxa"/>
        <w:tblLayout w:type="fixed"/>
        <w:tblCellMar>
          <w:top w:w="0" w:type="dxa"/>
          <w:left w:w="108" w:type="dxa"/>
          <w:bottom w:w="0" w:type="dxa"/>
          <w:right w:w="108" w:type="dxa"/>
        </w:tblCellMar>
      </w:tblPr>
      <w:tblGrid>
        <w:gridCol w:w="1419"/>
        <w:gridCol w:w="300"/>
        <w:gridCol w:w="1224"/>
        <w:gridCol w:w="1352"/>
        <w:gridCol w:w="1349"/>
        <w:gridCol w:w="1349"/>
        <w:gridCol w:w="1399"/>
        <w:gridCol w:w="999"/>
        <w:gridCol w:w="1349"/>
        <w:gridCol w:w="1249"/>
        <w:gridCol w:w="1202"/>
        <w:gridCol w:w="1224"/>
        <w:gridCol w:w="1199"/>
      </w:tblGrid>
      <w:tr>
        <w:tblPrEx>
          <w:tblCellMar>
            <w:top w:w="0" w:type="dxa"/>
            <w:left w:w="108" w:type="dxa"/>
            <w:bottom w:w="0" w:type="dxa"/>
            <w:right w:w="108" w:type="dxa"/>
          </w:tblCellMar>
        </w:tblPrEx>
        <w:trPr>
          <w:trHeight w:val="567" w:hRule="atLeast"/>
        </w:trPr>
        <w:tc>
          <w:tcPr>
            <w:tcW w:w="550" w:type="pct"/>
            <w:gridSpan w:val="2"/>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3674" w:type="pct"/>
            <w:gridSpan w:val="9"/>
            <w:tcBorders>
              <w:top w:val="nil"/>
              <w:left w:val="nil"/>
              <w:bottom w:val="nil"/>
              <w:right w:val="nil"/>
            </w:tcBorders>
            <w:shd w:val="clear" w:color="auto" w:fill="FFFFFF"/>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一般公共预算财政拨款“三公”经费支出决算表</w:t>
            </w:r>
          </w:p>
          <w:p>
            <w:pPr>
              <w:jc w:val="left"/>
              <w:rPr>
                <w:rFonts w:ascii="宋体" w:hAnsi="宋体" w:eastAsia="宋体" w:cs="宋体"/>
                <w:color w:val="000000"/>
                <w:szCs w:val="21"/>
              </w:rPr>
            </w:pPr>
          </w:p>
        </w:tc>
        <w:tc>
          <w:tcPr>
            <w:tcW w:w="392"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382"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Cs w:val="21"/>
              </w:rPr>
            </w:pPr>
          </w:p>
        </w:tc>
      </w:tr>
      <w:tr>
        <w:tblPrEx>
          <w:tblCellMar>
            <w:top w:w="0" w:type="dxa"/>
            <w:left w:w="108" w:type="dxa"/>
            <w:bottom w:w="0" w:type="dxa"/>
            <w:right w:w="108" w:type="dxa"/>
          </w:tblCellMar>
        </w:tblPrEx>
        <w:trPr>
          <w:trHeight w:val="567" w:hRule="atLeast"/>
        </w:trPr>
        <w:tc>
          <w:tcPr>
            <w:tcW w:w="1375" w:type="pct"/>
            <w:gridSpan w:val="4"/>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r>
              <w:rPr>
                <w:rFonts w:hint="eastAsia" w:ascii="宋体" w:hAnsi="宋体" w:eastAsia="宋体" w:cs="宋体"/>
                <w:color w:val="000000"/>
                <w:kern w:val="0"/>
                <w:szCs w:val="21"/>
              </w:rPr>
              <w:t>预算代码：052015003</w:t>
            </w:r>
          </w:p>
        </w:tc>
        <w:tc>
          <w:tcPr>
            <w:tcW w:w="432"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432"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448"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320"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432"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400"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384" w:type="pct"/>
            <w:tcBorders>
              <w:top w:val="nil"/>
              <w:left w:val="nil"/>
              <w:bottom w:val="nil"/>
              <w:right w:val="nil"/>
            </w:tcBorders>
            <w:shd w:val="clear" w:color="auto" w:fill="FFFFFF"/>
            <w:noWrap/>
            <w:vAlign w:val="center"/>
          </w:tcPr>
          <w:p>
            <w:pPr>
              <w:jc w:val="left"/>
              <w:rPr>
                <w:rFonts w:ascii="宋体" w:hAnsi="宋体" w:eastAsia="宋体" w:cs="宋体"/>
                <w:color w:val="000000"/>
                <w:szCs w:val="21"/>
              </w:rPr>
            </w:pPr>
          </w:p>
        </w:tc>
        <w:tc>
          <w:tcPr>
            <w:tcW w:w="774" w:type="pct"/>
            <w:gridSpan w:val="2"/>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公开07表</w:t>
            </w:r>
          </w:p>
        </w:tc>
      </w:tr>
      <w:tr>
        <w:tblPrEx>
          <w:tblCellMar>
            <w:top w:w="0" w:type="dxa"/>
            <w:left w:w="108" w:type="dxa"/>
            <w:bottom w:w="0" w:type="dxa"/>
            <w:right w:w="108" w:type="dxa"/>
          </w:tblCellMar>
        </w:tblPrEx>
        <w:trPr>
          <w:trHeight w:val="567" w:hRule="atLeast"/>
        </w:trPr>
        <w:tc>
          <w:tcPr>
            <w:tcW w:w="1375" w:type="pct"/>
            <w:gridSpan w:val="4"/>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r>
              <w:rPr>
                <w:rFonts w:hint="eastAsia" w:ascii="宋体" w:hAnsi="宋体" w:eastAsia="宋体" w:cs="宋体"/>
                <w:color w:val="000000"/>
                <w:kern w:val="0"/>
                <w:szCs w:val="21"/>
              </w:rPr>
              <w:t>部门：</w:t>
            </w:r>
            <w:r>
              <w:rPr>
                <w:rFonts w:hint="eastAsia" w:ascii="宋体" w:hAnsi="宋体" w:eastAsia="宋体" w:cs="宋体"/>
                <w:color w:val="000000"/>
                <w:kern w:val="0"/>
                <w:sz w:val="22"/>
              </w:rPr>
              <w:t>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432"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432"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448" w:type="pct"/>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rPr>
              <w:t>2021年度</w:t>
            </w:r>
          </w:p>
        </w:tc>
        <w:tc>
          <w:tcPr>
            <w:tcW w:w="320"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432"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400"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Cs w:val="21"/>
              </w:rPr>
            </w:pPr>
          </w:p>
        </w:tc>
        <w:tc>
          <w:tcPr>
            <w:tcW w:w="1159" w:type="pct"/>
            <w:gridSpan w:val="3"/>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金额单位：万元</w:t>
            </w:r>
          </w:p>
        </w:tc>
      </w:tr>
      <w:tr>
        <w:tblPrEx>
          <w:tblCellMar>
            <w:top w:w="0" w:type="dxa"/>
            <w:left w:w="108" w:type="dxa"/>
            <w:bottom w:w="0" w:type="dxa"/>
            <w:right w:w="108" w:type="dxa"/>
          </w:tblCellMar>
        </w:tblPrEx>
        <w:trPr>
          <w:trHeight w:val="567" w:hRule="atLeast"/>
        </w:trPr>
        <w:tc>
          <w:tcPr>
            <w:tcW w:w="2687" w:type="pct"/>
            <w:gridSpan w:val="7"/>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2312" w:type="pct"/>
            <w:gridSpan w:val="6"/>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567" w:hRule="atLeast"/>
        </w:trPr>
        <w:tc>
          <w:tcPr>
            <w:tcW w:w="454" w:type="pct"/>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488" w:type="pct"/>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1296"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448"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320"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432"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1176"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382"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    接待费</w:t>
            </w:r>
          </w:p>
        </w:tc>
      </w:tr>
      <w:tr>
        <w:tblPrEx>
          <w:tblCellMar>
            <w:top w:w="0" w:type="dxa"/>
            <w:left w:w="108" w:type="dxa"/>
            <w:bottom w:w="0" w:type="dxa"/>
            <w:right w:w="108" w:type="dxa"/>
          </w:tblCellMar>
        </w:tblPrEx>
        <w:trPr>
          <w:trHeight w:val="283" w:hRule="atLeast"/>
        </w:trPr>
        <w:tc>
          <w:tcPr>
            <w:tcW w:w="454"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488"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448"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320"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432"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400"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384"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39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382"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454" w:type="pc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88" w:type="pct"/>
            <w:gridSpan w:val="2"/>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448"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320"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43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400"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384"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39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382" w:type="pc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567" w:hRule="atLeast"/>
        </w:trPr>
        <w:tc>
          <w:tcPr>
            <w:tcW w:w="454" w:type="pct"/>
            <w:tcBorders>
              <w:top w:val="nil"/>
              <w:left w:val="single" w:color="000000" w:sz="4" w:space="0"/>
              <w:bottom w:val="single" w:color="000000" w:sz="4" w:space="0"/>
              <w:right w:val="single" w:color="000000" w:sz="4" w:space="0"/>
            </w:tcBorders>
            <w:shd w:val="clear" w:color="auto" w:fill="00FF00"/>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25.00</w:t>
            </w:r>
          </w:p>
        </w:tc>
        <w:tc>
          <w:tcPr>
            <w:tcW w:w="488" w:type="pct"/>
            <w:gridSpan w:val="2"/>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32" w:type="pct"/>
            <w:tcBorders>
              <w:top w:val="nil"/>
              <w:left w:val="nil"/>
              <w:bottom w:val="single" w:color="000000" w:sz="4" w:space="0"/>
              <w:right w:val="single" w:color="000000" w:sz="4" w:space="0"/>
            </w:tcBorders>
            <w:shd w:val="clear" w:color="auto" w:fill="00FF00"/>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22.00</w:t>
            </w:r>
          </w:p>
        </w:tc>
        <w:tc>
          <w:tcPr>
            <w:tcW w:w="43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3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22.00</w:t>
            </w:r>
          </w:p>
        </w:tc>
        <w:tc>
          <w:tcPr>
            <w:tcW w:w="44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3.00</w:t>
            </w:r>
          </w:p>
        </w:tc>
        <w:tc>
          <w:tcPr>
            <w:tcW w:w="320"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23.66</w:t>
            </w:r>
          </w:p>
        </w:tc>
        <w:tc>
          <w:tcPr>
            <w:tcW w:w="43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400"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21.84</w:t>
            </w:r>
          </w:p>
        </w:tc>
        <w:tc>
          <w:tcPr>
            <w:tcW w:w="3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0.00</w:t>
            </w:r>
          </w:p>
        </w:tc>
        <w:tc>
          <w:tcPr>
            <w:tcW w:w="39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21.84</w:t>
            </w:r>
          </w:p>
        </w:tc>
        <w:tc>
          <w:tcPr>
            <w:tcW w:w="38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1.82</w:t>
            </w:r>
          </w:p>
        </w:tc>
      </w:tr>
      <w:tr>
        <w:tblPrEx>
          <w:tblCellMar>
            <w:top w:w="0" w:type="dxa"/>
            <w:left w:w="108" w:type="dxa"/>
            <w:bottom w:w="0" w:type="dxa"/>
            <w:right w:w="108" w:type="dxa"/>
          </w:tblCellMar>
        </w:tblPrEx>
        <w:trPr>
          <w:trHeight w:val="567" w:hRule="atLeast"/>
        </w:trPr>
        <w:tc>
          <w:tcPr>
            <w:tcW w:w="5000" w:type="pct"/>
            <w:gridSpan w:val="13"/>
            <w:tcBorders>
              <w:top w:val="nil"/>
              <w:left w:val="nil"/>
              <w:bottom w:val="nil"/>
              <w:right w:val="nil"/>
            </w:tcBorders>
            <w:shd w:val="clear" w:color="auto" w:fill="FFFFFF"/>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left"/>
        <w:rPr>
          <w:rFonts w:ascii="宋体" w:eastAsia="宋体" w:cs="宋体"/>
          <w:kern w:val="0"/>
          <w:sz w:val="24"/>
          <w:szCs w:val="24"/>
        </w:rPr>
      </w:pPr>
      <w:r>
        <w:rPr>
          <w:rFonts w:ascii="宋体" w:eastAsia="宋体" w:cs="宋体"/>
          <w:kern w:val="0"/>
          <w:sz w:val="24"/>
          <w:szCs w:val="24"/>
        </w:rPr>
        <w:br w:type="page"/>
      </w:r>
    </w:p>
    <w:tbl>
      <w:tblPr>
        <w:tblStyle w:val="6"/>
        <w:tblW w:w="15521" w:type="dxa"/>
        <w:tblInd w:w="93" w:type="dxa"/>
        <w:tblLayout w:type="fixed"/>
        <w:tblCellMar>
          <w:top w:w="0" w:type="dxa"/>
          <w:left w:w="108" w:type="dxa"/>
          <w:bottom w:w="0" w:type="dxa"/>
          <w:right w:w="108" w:type="dxa"/>
        </w:tblCellMar>
      </w:tblPr>
      <w:tblGrid>
        <w:gridCol w:w="2005"/>
        <w:gridCol w:w="2000"/>
        <w:gridCol w:w="1975"/>
        <w:gridCol w:w="1800"/>
        <w:gridCol w:w="1950"/>
        <w:gridCol w:w="2000"/>
        <w:gridCol w:w="1925"/>
        <w:gridCol w:w="1866"/>
      </w:tblGrid>
      <w:tr>
        <w:tblPrEx>
          <w:tblCellMar>
            <w:top w:w="0" w:type="dxa"/>
            <w:left w:w="108" w:type="dxa"/>
            <w:bottom w:w="0" w:type="dxa"/>
            <w:right w:w="108" w:type="dxa"/>
          </w:tblCellMar>
        </w:tblPrEx>
        <w:trPr>
          <w:trHeight w:val="375" w:hRule="atLeast"/>
        </w:trPr>
        <w:tc>
          <w:tcPr>
            <w:tcW w:w="15521" w:type="dxa"/>
            <w:gridSpan w:val="8"/>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华文中宋" w:hAnsi="华文中宋" w:eastAsia="华文中宋" w:cs="宋体"/>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300" w:hRule="atLeast"/>
        </w:trPr>
        <w:tc>
          <w:tcPr>
            <w:tcW w:w="4005" w:type="dxa"/>
            <w:gridSpan w:val="2"/>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97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80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95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000"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925" w:type="dxa"/>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866" w:type="dxa"/>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公开08表</w:t>
            </w:r>
          </w:p>
        </w:tc>
      </w:tr>
      <w:tr>
        <w:tblPrEx>
          <w:tblCellMar>
            <w:top w:w="0" w:type="dxa"/>
            <w:left w:w="108" w:type="dxa"/>
            <w:bottom w:w="0" w:type="dxa"/>
            <w:right w:w="108" w:type="dxa"/>
          </w:tblCellMar>
        </w:tblPrEx>
        <w:trPr>
          <w:trHeight w:val="300" w:hRule="atLeast"/>
        </w:trPr>
        <w:tc>
          <w:tcPr>
            <w:tcW w:w="4005" w:type="dxa"/>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5725" w:type="dxa"/>
            <w:gridSpan w:val="3"/>
            <w:tcBorders>
              <w:top w:val="nil"/>
              <w:left w:val="nil"/>
              <w:bottom w:val="single" w:color="808080" w:sz="4" w:space="0"/>
              <w:right w:val="nil"/>
            </w:tcBorders>
            <w:shd w:val="clear" w:color="auto" w:fill="FFFFFF"/>
            <w:noWrap/>
            <w:vAlign w:val="center"/>
          </w:tcPr>
          <w:p>
            <w:pPr>
              <w:jc w:val="center"/>
              <w:rPr>
                <w:rFonts w:ascii="宋体" w:hAnsi="宋体" w:eastAsia="宋体" w:cs="宋体"/>
                <w:color w:val="000000"/>
                <w:sz w:val="18"/>
                <w:szCs w:val="18"/>
              </w:rPr>
            </w:pPr>
            <w:r>
              <w:rPr>
                <w:rFonts w:hint="eastAsia" w:ascii="宋体" w:hAnsi="宋体" w:eastAsia="宋体" w:cs="宋体"/>
                <w:color w:val="000000"/>
                <w:kern w:val="0"/>
                <w:sz w:val="22"/>
              </w:rPr>
              <w:t xml:space="preserve">             2021年度</w:t>
            </w:r>
          </w:p>
        </w:tc>
        <w:tc>
          <w:tcPr>
            <w:tcW w:w="2000"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925" w:type="dxa"/>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866" w:type="dxa"/>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83" w:hRule="atLeast"/>
        </w:trPr>
        <w:tc>
          <w:tcPr>
            <w:tcW w:w="4005"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97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80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5875"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866"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108" w:type="dxa"/>
            <w:bottom w:w="0" w:type="dxa"/>
            <w:right w:w="108" w:type="dxa"/>
          </w:tblCellMar>
        </w:tblPrEx>
        <w:trPr>
          <w:trHeight w:val="312" w:hRule="atLeast"/>
        </w:trPr>
        <w:tc>
          <w:tcPr>
            <w:tcW w:w="2005" w:type="dxa"/>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00" w:type="dxa"/>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97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95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000"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925"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86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200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2000"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197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9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20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9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86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2005" w:type="dxa"/>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2000" w:type="dxa"/>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197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8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95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2000"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925"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866"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4005"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975"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80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95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2000"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925"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866" w:type="dxa"/>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567" w:hRule="atLeast"/>
        </w:trPr>
        <w:tc>
          <w:tcPr>
            <w:tcW w:w="4005" w:type="dxa"/>
            <w:gridSpan w:val="2"/>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97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color w:val="000000"/>
                <w:sz w:val="22"/>
              </w:rPr>
            </w:pPr>
          </w:p>
        </w:tc>
        <w:tc>
          <w:tcPr>
            <w:tcW w:w="18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color w:val="000000"/>
                <w:sz w:val="22"/>
              </w:rPr>
            </w:pPr>
          </w:p>
        </w:tc>
        <w:tc>
          <w:tcPr>
            <w:tcW w:w="195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color w:val="000000"/>
                <w:sz w:val="22"/>
              </w:rPr>
            </w:pPr>
          </w:p>
        </w:tc>
        <w:tc>
          <w:tcPr>
            <w:tcW w:w="20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color w:val="000000"/>
                <w:sz w:val="22"/>
              </w:rPr>
            </w:pPr>
          </w:p>
        </w:tc>
        <w:tc>
          <w:tcPr>
            <w:tcW w:w="192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color w:val="000000"/>
                <w:sz w:val="22"/>
              </w:rPr>
            </w:pPr>
          </w:p>
        </w:tc>
        <w:tc>
          <w:tcPr>
            <w:tcW w:w="1866"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color w:val="000000"/>
                <w:sz w:val="22"/>
              </w:rPr>
            </w:pPr>
          </w:p>
        </w:tc>
      </w:tr>
      <w:tr>
        <w:tblPrEx>
          <w:tblCellMar>
            <w:top w:w="0" w:type="dxa"/>
            <w:left w:w="108" w:type="dxa"/>
            <w:bottom w:w="0" w:type="dxa"/>
            <w:right w:w="108" w:type="dxa"/>
          </w:tblCellMar>
        </w:tblPrEx>
        <w:trPr>
          <w:trHeight w:val="567" w:hRule="atLeast"/>
        </w:trPr>
        <w:tc>
          <w:tcPr>
            <w:tcW w:w="2005" w:type="dxa"/>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2"/>
              </w:rPr>
            </w:pPr>
          </w:p>
        </w:tc>
        <w:tc>
          <w:tcPr>
            <w:tcW w:w="2000" w:type="dxa"/>
            <w:tcBorders>
              <w:top w:val="nil"/>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2"/>
              </w:rPr>
            </w:pPr>
            <w:r>
              <w:rPr>
                <w:rFonts w:hint="eastAsia" w:ascii="宋体" w:hAnsi="宋体" w:eastAsia="宋体" w:cs="宋体"/>
                <w:color w:val="000000"/>
                <w:sz w:val="22"/>
              </w:rPr>
              <w:t>此表无数据</w:t>
            </w:r>
          </w:p>
        </w:tc>
        <w:tc>
          <w:tcPr>
            <w:tcW w:w="197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8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5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2000"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925"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1866" w:type="dxa"/>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trHeight w:val="567" w:hRule="atLeast"/>
        </w:trPr>
        <w:tc>
          <w:tcPr>
            <w:tcW w:w="15521" w:type="dxa"/>
            <w:gridSpan w:val="8"/>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注：1、本表反映部门本年度政府性基金预算财政拨款收入、支出及结转和结余情况。</w:t>
            </w:r>
          </w:p>
          <w:p>
            <w:pPr>
              <w:widowControl/>
              <w:ind w:firstLine="440" w:firstLineChars="200"/>
              <w:jc w:val="left"/>
              <w:textAlignment w:val="center"/>
              <w:rPr>
                <w:rFonts w:ascii="宋体" w:hAnsi="宋体" w:eastAsia="宋体" w:cs="宋体"/>
                <w:color w:val="000000"/>
                <w:sz w:val="22"/>
              </w:rPr>
            </w:pPr>
            <w:r>
              <w:rPr>
                <w:rFonts w:hint="eastAsia" w:ascii="宋体" w:hAnsi="宋体" w:eastAsia="宋体" w:cs="宋体"/>
                <w:color w:val="000000"/>
                <w:kern w:val="0"/>
                <w:sz w:val="22"/>
              </w:rPr>
              <w:t>2、本院没有政府性基金预算收支，故本表无数据。</w:t>
            </w:r>
          </w:p>
        </w:tc>
      </w:tr>
    </w:tbl>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6"/>
        <w:tblW w:w="4999" w:type="pct"/>
        <w:tblInd w:w="0" w:type="dxa"/>
        <w:tblLayout w:type="autofit"/>
        <w:tblCellMar>
          <w:top w:w="0" w:type="dxa"/>
          <w:left w:w="108" w:type="dxa"/>
          <w:bottom w:w="0" w:type="dxa"/>
          <w:right w:w="108" w:type="dxa"/>
        </w:tblCellMar>
      </w:tblPr>
      <w:tblGrid>
        <w:gridCol w:w="2988"/>
        <w:gridCol w:w="347"/>
        <w:gridCol w:w="240"/>
        <w:gridCol w:w="3781"/>
        <w:gridCol w:w="2713"/>
        <w:gridCol w:w="2797"/>
        <w:gridCol w:w="59"/>
        <w:gridCol w:w="2686"/>
      </w:tblGrid>
      <w:tr>
        <w:tblPrEx>
          <w:tblCellMar>
            <w:top w:w="0" w:type="dxa"/>
            <w:left w:w="108" w:type="dxa"/>
            <w:bottom w:w="0" w:type="dxa"/>
            <w:right w:w="108" w:type="dxa"/>
          </w:tblCellMar>
        </w:tblPrEx>
        <w:trPr>
          <w:trHeight w:val="621" w:hRule="atLeast"/>
        </w:trPr>
        <w:tc>
          <w:tcPr>
            <w:tcW w:w="957" w:type="pct"/>
            <w:tcBorders>
              <w:top w:val="nil"/>
              <w:left w:val="nil"/>
              <w:bottom w:val="nil"/>
              <w:right w:val="nil"/>
            </w:tcBorders>
            <w:shd w:val="clear" w:color="auto" w:fill="FFFFFF"/>
            <w:noWrap/>
            <w:vAlign w:val="center"/>
          </w:tcPr>
          <w:p>
            <w:pPr>
              <w:jc w:val="left"/>
              <w:rPr>
                <w:rFonts w:ascii="宋体" w:hAnsi="宋体" w:eastAsia="宋体" w:cs="宋体"/>
                <w:color w:val="000000"/>
                <w:sz w:val="22"/>
              </w:rPr>
            </w:pPr>
          </w:p>
        </w:tc>
        <w:tc>
          <w:tcPr>
            <w:tcW w:w="11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1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6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9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77" w:type="pct"/>
            <w:gridSpan w:val="2"/>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621" w:hRule="atLeast"/>
        </w:trPr>
        <w:tc>
          <w:tcPr>
            <w:tcW w:w="5000" w:type="pct"/>
            <w:gridSpan w:val="8"/>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621" w:hRule="atLeast"/>
        </w:trPr>
        <w:tc>
          <w:tcPr>
            <w:tcW w:w="957"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21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6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9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77" w:type="pct"/>
            <w:gridSpan w:val="2"/>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公开09表</w:t>
            </w:r>
          </w:p>
        </w:tc>
      </w:tr>
      <w:tr>
        <w:tblPrEx>
          <w:tblCellMar>
            <w:top w:w="0" w:type="dxa"/>
            <w:left w:w="108" w:type="dxa"/>
            <w:bottom w:w="0" w:type="dxa"/>
            <w:right w:w="108" w:type="dxa"/>
          </w:tblCellMar>
        </w:tblPrEx>
        <w:trPr>
          <w:trHeight w:val="621" w:hRule="atLeast"/>
        </w:trPr>
        <w:tc>
          <w:tcPr>
            <w:tcW w:w="1145" w:type="pct"/>
            <w:gridSpan w:val="3"/>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部门：郴州市苏仙区</w:t>
            </w:r>
            <w:r>
              <w:rPr>
                <w:rFonts w:hint="eastAsia" w:ascii="宋体" w:hAnsi="宋体" w:eastAsia="宋体" w:cs="宋体"/>
                <w:color w:val="000000"/>
                <w:kern w:val="0"/>
                <w:sz w:val="22"/>
                <w:lang w:eastAsia="zh-CN"/>
              </w:rPr>
              <w:t>人民</w:t>
            </w:r>
            <w:r>
              <w:rPr>
                <w:rFonts w:hint="eastAsia" w:ascii="宋体" w:hAnsi="宋体" w:eastAsia="宋体" w:cs="宋体"/>
                <w:color w:val="000000"/>
                <w:kern w:val="0"/>
                <w:sz w:val="22"/>
              </w:rPr>
              <w:t>检察院</w:t>
            </w:r>
          </w:p>
        </w:tc>
        <w:tc>
          <w:tcPr>
            <w:tcW w:w="1211" w:type="pct"/>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2021年度</w:t>
            </w:r>
          </w:p>
        </w:tc>
        <w:tc>
          <w:tcPr>
            <w:tcW w:w="869"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96"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77" w:type="pct"/>
            <w:gridSpan w:val="2"/>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567" w:hRule="atLeast"/>
        </w:trPr>
        <w:tc>
          <w:tcPr>
            <w:tcW w:w="2356"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2643" w:type="pct"/>
            <w:gridSpan w:val="4"/>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trHeight w:val="567" w:hRule="atLeast"/>
        </w:trPr>
        <w:tc>
          <w:tcPr>
            <w:tcW w:w="1145"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211" w:type="pct"/>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69"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96"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77" w:type="pct"/>
            <w:gridSpan w:val="2"/>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567" w:hRule="atLeast"/>
        </w:trPr>
        <w:tc>
          <w:tcPr>
            <w:tcW w:w="1145"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211"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86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89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87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1145"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1211"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2"/>
              </w:rPr>
            </w:pPr>
          </w:p>
        </w:tc>
        <w:tc>
          <w:tcPr>
            <w:tcW w:w="86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89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c>
          <w:tcPr>
            <w:tcW w:w="877" w:type="pct"/>
            <w:gridSpan w:val="2"/>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trPr>
        <w:tc>
          <w:tcPr>
            <w:tcW w:w="2356"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69"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96"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7" w:type="pct"/>
            <w:gridSpan w:val="2"/>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567" w:hRule="atLeast"/>
        </w:trPr>
        <w:tc>
          <w:tcPr>
            <w:tcW w:w="2356"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69" w:type="pct"/>
            <w:tcBorders>
              <w:top w:val="nil"/>
              <w:left w:val="nil"/>
              <w:bottom w:val="single" w:color="000000" w:sz="4" w:space="0"/>
              <w:right w:val="single" w:color="000000" w:sz="4" w:space="0"/>
            </w:tcBorders>
            <w:shd w:val="clear" w:color="auto" w:fill="00FF00"/>
            <w:noWrap/>
            <w:vAlign w:val="center"/>
          </w:tcPr>
          <w:p>
            <w:pPr>
              <w:jc w:val="right"/>
              <w:rPr>
                <w:rFonts w:ascii="宋体" w:hAnsi="宋体" w:eastAsia="宋体" w:cs="宋体"/>
                <w:b/>
                <w:color w:val="000000"/>
                <w:sz w:val="22"/>
              </w:rPr>
            </w:pPr>
          </w:p>
        </w:tc>
        <w:tc>
          <w:tcPr>
            <w:tcW w:w="896" w:type="pct"/>
            <w:tcBorders>
              <w:top w:val="nil"/>
              <w:left w:val="nil"/>
              <w:bottom w:val="single" w:color="000000" w:sz="4" w:space="0"/>
              <w:right w:val="single" w:color="000000" w:sz="4" w:space="0"/>
            </w:tcBorders>
            <w:shd w:val="clear" w:color="auto" w:fill="00FF00"/>
            <w:noWrap/>
            <w:vAlign w:val="center"/>
          </w:tcPr>
          <w:p>
            <w:pPr>
              <w:jc w:val="right"/>
              <w:rPr>
                <w:rFonts w:ascii="宋体" w:hAnsi="宋体" w:eastAsia="宋体" w:cs="宋体"/>
                <w:b/>
                <w:color w:val="000000"/>
                <w:sz w:val="22"/>
              </w:rPr>
            </w:pPr>
          </w:p>
        </w:tc>
        <w:tc>
          <w:tcPr>
            <w:tcW w:w="877" w:type="pct"/>
            <w:gridSpan w:val="2"/>
            <w:tcBorders>
              <w:top w:val="nil"/>
              <w:left w:val="nil"/>
              <w:bottom w:val="single" w:color="000000" w:sz="4" w:space="0"/>
              <w:right w:val="single" w:color="000000" w:sz="4" w:space="0"/>
            </w:tcBorders>
            <w:shd w:val="clear" w:color="auto" w:fill="00FF00"/>
            <w:noWrap/>
            <w:vAlign w:val="center"/>
          </w:tcPr>
          <w:p>
            <w:pPr>
              <w:jc w:val="right"/>
              <w:rPr>
                <w:rFonts w:ascii="宋体" w:hAnsi="宋体" w:eastAsia="宋体" w:cs="宋体"/>
                <w:b/>
                <w:color w:val="000000"/>
                <w:sz w:val="22"/>
              </w:rPr>
            </w:pPr>
          </w:p>
        </w:tc>
      </w:tr>
      <w:tr>
        <w:tblPrEx>
          <w:tblCellMar>
            <w:top w:w="0" w:type="dxa"/>
            <w:left w:w="108" w:type="dxa"/>
            <w:bottom w:w="0" w:type="dxa"/>
            <w:right w:w="108" w:type="dxa"/>
          </w:tblCellMar>
        </w:tblPrEx>
        <w:trPr>
          <w:trHeight w:val="567" w:hRule="atLeast"/>
        </w:trPr>
        <w:tc>
          <w:tcPr>
            <w:tcW w:w="1145" w:type="pct"/>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2"/>
              </w:rPr>
            </w:pPr>
          </w:p>
        </w:tc>
        <w:tc>
          <w:tcPr>
            <w:tcW w:w="1211" w:type="pct"/>
            <w:tcBorders>
              <w:top w:val="nil"/>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2"/>
              </w:rPr>
            </w:pPr>
            <w:r>
              <w:rPr>
                <w:rFonts w:hint="eastAsia" w:ascii="宋体" w:hAnsi="宋体" w:eastAsia="宋体" w:cs="宋体"/>
                <w:color w:val="000000"/>
                <w:sz w:val="22"/>
              </w:rPr>
              <w:t>此表无数据</w:t>
            </w:r>
          </w:p>
        </w:tc>
        <w:tc>
          <w:tcPr>
            <w:tcW w:w="869"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8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c>
          <w:tcPr>
            <w:tcW w:w="877" w:type="pct"/>
            <w:gridSpan w:val="2"/>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rPr>
            </w:pPr>
            <w:r>
              <w:rPr>
                <w:rFonts w:hint="eastAsia" w:ascii="宋体" w:hAnsi="宋体" w:eastAsia="宋体" w:cs="宋体"/>
                <w:color w:val="000000"/>
                <w:sz w:val="22"/>
              </w:rPr>
              <w:t>0.00</w:t>
            </w:r>
          </w:p>
        </w:tc>
      </w:tr>
      <w:tr>
        <w:tblPrEx>
          <w:tblCellMar>
            <w:top w:w="0" w:type="dxa"/>
            <w:left w:w="108" w:type="dxa"/>
            <w:bottom w:w="0" w:type="dxa"/>
            <w:right w:w="108" w:type="dxa"/>
          </w:tblCellMar>
        </w:tblPrEx>
        <w:trPr>
          <w:gridAfter w:val="1"/>
          <w:wAfter w:w="859" w:type="pct"/>
          <w:trHeight w:val="567" w:hRule="atLeast"/>
        </w:trPr>
        <w:tc>
          <w:tcPr>
            <w:tcW w:w="4140" w:type="pct"/>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注：1、本表反映部门本年度国有资本经营预算财政拨款支出情况。</w:t>
            </w:r>
          </w:p>
          <w:p>
            <w:pPr>
              <w:widowControl/>
              <w:ind w:firstLine="440" w:firstLineChars="200"/>
              <w:jc w:val="left"/>
              <w:textAlignment w:val="center"/>
              <w:rPr>
                <w:rFonts w:ascii="宋体" w:hAnsi="宋体" w:eastAsia="宋体" w:cs="宋体"/>
                <w:color w:val="000000"/>
                <w:sz w:val="22"/>
              </w:rPr>
            </w:pPr>
            <w:r>
              <w:rPr>
                <w:rFonts w:hint="eastAsia" w:ascii="宋体" w:hAnsi="宋体" w:eastAsia="宋体" w:cs="宋体"/>
                <w:color w:val="000000"/>
                <w:kern w:val="0"/>
                <w:sz w:val="22"/>
              </w:rPr>
              <w:t>2、本院没有国有资本经营预算安排的支出，故本表无数据。</w:t>
            </w:r>
          </w:p>
        </w:tc>
      </w:tr>
    </w:tbl>
    <w:p>
      <w:pPr>
        <w:widowControl/>
        <w:rPr>
          <w:rFonts w:ascii="Times New Roman" w:hAnsi="Times New Roman" w:eastAsia="方正小标宋_GBK" w:cs="Times New Roman"/>
          <w:kern w:val="0"/>
          <w:sz w:val="36"/>
          <w:szCs w:val="36"/>
        </w:rPr>
      </w:pPr>
    </w:p>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2021年度收、支总计1873.74万元。与上年相比，增加48.16万元，增长2.64%，主要是因为办公办案工作需要增加了办公设备购置、远程提讯和公开听证室系统建设等经费。</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2021年度收入合计1741.58万元，其中：财政拨款收入1422.74万元，占81.69%；其他收入318.84万元，占18.31%。</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2021年度支出合计1799.26万元，其中：基本支出1639.8万元，占91.14%；项目支出159.46万元，占8.86%。</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2021年度财政拨款收、支总计1451.51万元，与上年相比，增加26.6万元,增长1.87%，主要是因为落实科技强检要求，更新配置了检察工作网电脑，进行了远程提讯、检察听证室等系统建设，收入略有增加。</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1422.44万元，占本年支出合计的79.06%，与上年相比，财政拨款支出增加47.55万元，增长3.46%，主要是因为落实科技强检要求，更新配置了检察工作网电脑，进行了远程提讯、检察听证室等系统建设，支出略有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1422.44万元，主要用于以下方面：一般公共服务（类）支出10.74万元，占0.76%；公共安全（类）支出1189.71万元，占比83.64%；教育（类）支出3万元，占比0.21%；社会保障和就业（类）支出72.98万元，占比5.13%；卫生健康（类）支出60万元，占比4.22%；住房保障（类）支出86万元，占比6.04%。</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2021年度财政拨款支出年初预算数为1347.79万元，支出决算数为1422.44万元，完成年初预算的105.54%，其中：</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1、一般公共服务支出（类）其他一般公共服务支出（款）国家赔偿费用支出（项）。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年初预算为0.00万元，支出决算为10.74万元，比例无法计算比预算增加的数字，</w:t>
      </w:r>
      <w:r>
        <w:rPr>
          <w:rFonts w:hint="eastAsia" w:asciiTheme="minorEastAsia" w:hAnsiTheme="minorEastAsia" w:eastAsiaTheme="minorEastAsia"/>
          <w:color w:val="auto"/>
          <w:sz w:val="32"/>
          <w:szCs w:val="32"/>
          <w:highlight w:val="none"/>
        </w:rPr>
        <w:t>主要原因是</w:t>
      </w:r>
      <w:r>
        <w:rPr>
          <w:rFonts w:hint="eastAsia" w:asciiTheme="minorEastAsia" w:hAnsiTheme="minorEastAsia" w:eastAsiaTheme="minorEastAsia"/>
          <w:color w:val="auto"/>
          <w:sz w:val="32"/>
          <w:szCs w:val="32"/>
        </w:rPr>
        <w:t>：因办公办案工作需要年中追加了国家赔偿费用。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2、公共安全支出（类）检察（款）行政运行（项）。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981.99万元，支出决算为1012.99万元，完成年初预算的103.16%，决算数大于年初预算数的主要原因是：地方政策及单位人员变动原因导致公务员医疗补助缴费大幅减少，调整了48万元至有经费缺口的其他工资福利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3、公共安全支出（类）检察（款）一般行政管理事务（项）。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年初预算为48.50万元，支出决算为128.04万元，完成年初预算的264%，决算数大于年初预算数的主要原因是：因办公办案工作需要年中追加检察工作网电脑等办公设备购置、远程提讯和公开听证室系统建设等经费。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4、公共安全支出（类）检察（款）检察监督（项）。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年初预算为47.30万元，支出决算为48.68万元，完成年初预算的102.92%，决算数大于年初预算数的主要原因是：检察监督办案工作不可预计性。</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5、教育支出（类）进修及培训（款）培训支出（项）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年初预算为3万元，支出决算为3万元，完成年初预算的100%。</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6、社会保障和就业支出（类）行政事业单位养老支出（款）机关事业单位基本养老保险缴费支出（项）。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年初预算为62万元，支出决算为62万元，完成年初预算的100%。</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7、社会保障和就业支出（类）其他社会保障和就业支出（款）其他社会保障和就业支出（项）。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年初预算为11万元，支出决算为10.98万元，完成年初预算的99.82%，决算数小于年初预算数的主要原因是：在职人员变动导致零星结余。</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8、卫生健康支出（类）行政事业单位医疗（款）行政单位医疗（项）。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年初预算为58万元，支出决算为58万元，完成年初预算的100%。</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9、卫生健康支出（类）行政事业单位医疗（款）公务员医疗补助（项）。</w:t>
      </w:r>
    </w:p>
    <w:p>
      <w:pPr>
        <w:pStyle w:val="11"/>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年初预算为50万元，支出决算为2万元，完成年初预算的4%，决算数小于年初预算数的主要原因是：地方政策及单位人员变动原因导致公务员医疗补助缴费大幅减少，调整了48万元至有经费缺口的其他工资福利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10、住房保障支出（类）住房改革支出（款）住房公积金（项）。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年初预算为86万元，支出决算为86万元，完成年初预算的100%。</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1262.98万元，其中：人员经费752.25万元，占基本支出的59.56%,主要包括基本工资、津贴补贴、奖金、机关事业单位基本养老保险缴费、职工基本医疗保险缴费、公务员医疗补助缴费、其他社会保障缴费、住房公积金、其他工资福利支出、对个人和家庭的补助、生活补助、其他对个人和家庭的补助；公用经费510.73万元，占基本支出的40.44%，主要包括办公费、印刷费、水费、电费、邮电费、物业管理费、差旅费、维修（护）费、会议费、培训费、公务接待费、劳务费、工会经费、福利费、公务用车运行维护费、其他交通费用、其他商品和服务支出。</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2021年度“三公”经费财政拨款支出预算为25万元，支出决算为23.66万元，完成预算的94.64%，其中：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color w:val="auto"/>
          <w:sz w:val="32"/>
          <w:szCs w:val="32"/>
        </w:rPr>
        <w:t>比例无法计算比预算增加的数字</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sz w:val="32"/>
          <w:szCs w:val="32"/>
        </w:rPr>
        <w:t>本年度未开展因公出国交流项目</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支出决算</w:t>
      </w:r>
      <w:r>
        <w:rPr>
          <w:rFonts w:hint="eastAsia" w:asciiTheme="minorEastAsia" w:hAnsiTheme="minorEastAsia" w:eastAsiaTheme="minorEastAsia"/>
          <w:sz w:val="32"/>
          <w:szCs w:val="32"/>
          <w:lang w:eastAsia="zh-CN"/>
        </w:rPr>
        <w:t>与上年相比无变化</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万元，支出决算为1.82万元，完成预算的60.67%，决算数小于预算数的主要原因是进一步从严控制公务接待经费开支，全年实际支出比预算节约幅度较大，与上年相比增加1.31万元，增长256.86%,增长的主要原因是受新冠疫情常态化管理影响，公务接待活动增多。</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w:t>
      </w:r>
      <w:r>
        <w:rPr>
          <w:rFonts w:hint="eastAsia" w:asciiTheme="minorEastAsia" w:hAnsiTheme="minorEastAsia" w:eastAsiaTheme="minorEastAsia"/>
          <w:color w:val="auto"/>
          <w:sz w:val="32"/>
          <w:szCs w:val="32"/>
        </w:rPr>
        <w:t>比例无法计算比预算增加的数字</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sz w:val="32"/>
          <w:szCs w:val="32"/>
        </w:rPr>
        <w:t>支出决算</w:t>
      </w:r>
      <w:r>
        <w:rPr>
          <w:rFonts w:hint="eastAsia" w:asciiTheme="minorEastAsia" w:hAnsiTheme="minorEastAsia" w:eastAsiaTheme="minorEastAsia"/>
          <w:sz w:val="32"/>
          <w:szCs w:val="32"/>
          <w:lang w:eastAsia="zh-CN"/>
        </w:rPr>
        <w:t>与上年相比无变化</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公务用车运行维护费支出预算为22万元，支出决算为21.84万元，完成预算的99.27%，决算数小于预算数的主要原因是</w:t>
      </w:r>
      <w:r>
        <w:rPr>
          <w:rFonts w:hint="eastAsia" w:asciiTheme="minorEastAsia" w:hAnsiTheme="minorEastAsia" w:eastAsiaTheme="minorEastAsia"/>
          <w:color w:val="000000" w:themeColor="text1"/>
          <w:sz w:val="32"/>
          <w:szCs w:val="32"/>
        </w:rPr>
        <w:t>节约</w:t>
      </w:r>
      <w:r>
        <w:rPr>
          <w:rFonts w:hint="eastAsia" w:asciiTheme="minorEastAsia" w:hAnsiTheme="minorEastAsia" w:eastAsiaTheme="minorEastAsia"/>
          <w:sz w:val="32"/>
          <w:szCs w:val="32"/>
        </w:rPr>
        <w:t>公务用车运行维护</w:t>
      </w:r>
      <w:r>
        <w:rPr>
          <w:rFonts w:hint="eastAsia" w:asciiTheme="minorEastAsia" w:hAnsiTheme="minorEastAsia" w:eastAsiaTheme="minorEastAsia"/>
          <w:color w:val="000000" w:themeColor="text1"/>
          <w:sz w:val="32"/>
          <w:szCs w:val="32"/>
        </w:rPr>
        <w:t>开支</w:t>
      </w:r>
      <w:r>
        <w:rPr>
          <w:rFonts w:hint="eastAsia" w:asciiTheme="minorEastAsia" w:hAnsiTheme="minorEastAsia" w:eastAsiaTheme="minorEastAsia"/>
          <w:sz w:val="32"/>
          <w:szCs w:val="32"/>
        </w:rPr>
        <w:t>，与上年相比减少3万元，减少12.08%,减少的主要原因是进一步从严控制运行维护费开支。</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2021年度“三公”经费财政拨款支出决算中，公务接待费支出决算1.82万元，占7.69%,因公出国（境）费支出决算0万元，占0%,公务用车购置费及运行维护费支出决算21.84万元，占92.31%。其中：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1、因公出国（境）费支出决算为0万元，全年安排因公出国（境）团组0个，累计0人次，本年度未开展因公出国交流项目。</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2、公务接待费支出决算为1.82万元，全年共接待来访团组18个、来宾120人次，主要是全国各地检察机关和国内相关部门交流工作和协办案件等发生的接待支出。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3、公务用车购置费及运行维护费支出决算为21.84万元，其中：</w:t>
      </w:r>
      <w:r>
        <w:rPr>
          <w:rFonts w:hint="eastAsia" w:asciiTheme="minorEastAsia" w:hAnsiTheme="minorEastAsia"/>
          <w:sz w:val="32"/>
          <w:szCs w:val="32"/>
          <w:lang w:eastAsia="zh-CN"/>
        </w:rPr>
        <w:t>公务用车购置费</w:t>
      </w:r>
      <w:r>
        <w:rPr>
          <w:rFonts w:hint="eastAsia" w:asciiTheme="minorEastAsia" w:hAnsiTheme="minorEastAsia"/>
          <w:sz w:val="32"/>
          <w:szCs w:val="32"/>
          <w:lang w:val="en-US" w:eastAsia="zh-CN"/>
        </w:rPr>
        <w:t>0万元，</w:t>
      </w:r>
      <w:r>
        <w:rPr>
          <w:rFonts w:hint="eastAsia" w:asciiTheme="minorEastAsia" w:hAnsiTheme="minorEastAsia" w:eastAsiaTheme="minorEastAsia"/>
          <w:color w:val="auto"/>
          <w:sz w:val="32"/>
          <w:szCs w:val="32"/>
          <w:lang w:eastAsia="zh-CN"/>
        </w:rPr>
        <w:t>单位本级</w:t>
      </w:r>
      <w:r>
        <w:rPr>
          <w:rFonts w:hint="eastAsia" w:asciiTheme="minorEastAsia" w:hAnsiTheme="minorEastAsia"/>
          <w:color w:val="000000" w:themeColor="text1"/>
          <w:sz w:val="32"/>
          <w:szCs w:val="32"/>
          <w:lang w:eastAsia="zh-CN"/>
        </w:rPr>
        <w:t>更新</w:t>
      </w:r>
      <w:r>
        <w:rPr>
          <w:rFonts w:hint="eastAsia" w:asciiTheme="minorEastAsia" w:hAnsiTheme="minorEastAsia" w:eastAsiaTheme="minorEastAsia"/>
          <w:color w:val="000000" w:themeColor="text1"/>
          <w:sz w:val="32"/>
          <w:szCs w:val="32"/>
          <w:lang w:eastAsia="zh-CN"/>
        </w:rPr>
        <w:t>公务用车</w:t>
      </w:r>
      <w:r>
        <w:rPr>
          <w:rFonts w:hint="eastAsia" w:asciiTheme="minorEastAsia" w:hAnsiTheme="minorEastAsia" w:eastAsiaTheme="minorEastAsia"/>
          <w:color w:val="000000" w:themeColor="text1"/>
          <w:sz w:val="32"/>
          <w:szCs w:val="32"/>
          <w:lang w:val="en-US" w:eastAsia="zh-CN"/>
        </w:rPr>
        <w:t>0辆</w:t>
      </w:r>
      <w:r>
        <w:rPr>
          <w:rFonts w:hint="eastAsia" w:asciiTheme="minorEastAsia" w:hAnsiTheme="minorEastAsia"/>
          <w:color w:val="000000" w:themeColor="text1"/>
          <w:sz w:val="32"/>
          <w:szCs w:val="32"/>
          <w:lang w:val="en-US" w:eastAsia="zh-CN"/>
        </w:rPr>
        <w:t>，购置公务用车0辆。</w:t>
      </w:r>
      <w:bookmarkStart w:id="3" w:name="_GoBack"/>
      <w:bookmarkEnd w:id="3"/>
      <w:r>
        <w:rPr>
          <w:rFonts w:hint="eastAsia" w:asciiTheme="minorEastAsia" w:hAnsiTheme="minorEastAsia"/>
          <w:sz w:val="32"/>
          <w:szCs w:val="32"/>
        </w:rPr>
        <w:t>公务用车运行维护费21.84万元，主要是用于机要通信、执法执勤和侦查办案等所需公务车辆的燃料费、维修费、过路过桥费、年审费和保险费等支出，截止2021年12月31日，我单位开支财政拨款的公务用车保有量为6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cstheme="minorBidi"/>
          <w:color w:val="auto"/>
          <w:kern w:val="2"/>
          <w:sz w:val="32"/>
          <w:szCs w:val="32"/>
        </w:rPr>
        <w:t>本部门无政府性基金收支。</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本部门2021年度机关运行经费支出510.73万元，比上年决算数增加50.05万元，增长10.86%。主要原因是：办公办案支出、单位维修维护支出增多。</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0.35万元，用于召开检察机关的业务工作和党政学习交流会议会议，人数87人，内容为区院公益诉讼观察员业务会议、检察开放日检企合作会议；开支培训费3万元，用于用于参加上级检察机关组织的业务培训等，参加人数15人，内容为国家检察官学院培训、省院检察业务培训、市院检察业务培训。未举办节庆、晚会论坛、赛事等活动，无相关开支。</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103.93万元，其中：政府采购货物支出103.93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6辆，其中，主要领导干部用车0辆，机要通信用车0辆、应急保障用车0辆、执法执勤用车6辆、特种专业技术用车0辆、其他用车0辆，其他用车主要是一般公务用车和离退休干部用车；单位价值50万元以上通用设备0台（套）；单位价值100万元以上专用设备0台（套）。</w:t>
      </w:r>
    </w:p>
    <w:p>
      <w:pPr>
        <w:pStyle w:val="11"/>
        <w:rPr>
          <w:rFonts w:hAnsi="黑体"/>
          <w:b/>
          <w:color w:val="auto"/>
          <w:sz w:val="32"/>
          <w:szCs w:val="32"/>
        </w:rPr>
      </w:pPr>
      <w:r>
        <w:rPr>
          <w:rFonts w:hint="eastAsia" w:hAnsi="黑体"/>
          <w:b/>
          <w:color w:val="auto"/>
          <w:sz w:val="32"/>
          <w:szCs w:val="32"/>
        </w:rPr>
        <w:t>十三、2021年度预算绩效情况说明</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themeColor="text1"/>
          <w:kern w:val="0"/>
          <w:sz w:val="32"/>
          <w:szCs w:val="32"/>
        </w:rPr>
        <w:t>根据预算绩效管理要求，本部门组织开展了2021年度部门绩效自评工作，围绕部门绩效总目标，严格落实执行，将牢固树立绩效管理理念、强化主题意识、落实工作责任，切实将绩效评价作为改进工作管理、提升工作水平、提高资金效益的有力措施。在开展评价工作中，积极提供资料、主动配合工作，共同推进绩效评价有序开展、取得实效。2021年度部门整体支出绩效评价报告由湖南省人民检察院统一编制。</w:t>
      </w:r>
      <w:r>
        <w:rPr>
          <w:rFonts w:hint="eastAsia" w:cs="黑体" w:asciiTheme="minorEastAsia" w:hAnsiTheme="minorEastAsia"/>
          <w:color w:val="000000"/>
          <w:kern w:val="0"/>
          <w:sz w:val="32"/>
          <w:szCs w:val="32"/>
        </w:rPr>
        <w:t>网址为：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w:t>
      </w:r>
      <w:r>
        <w:fldChar w:fldCharType="begin"/>
      </w:r>
      <w:r>
        <w:instrText xml:space="preserve"> HYPERLINK "https://www.hn.jcy.gov.cn/xwfb/czxx/qtczxxgk/202206/1537346769879302144.html" </w:instrText>
      </w:r>
      <w:r>
        <w:fldChar w:fldCharType="separate"/>
      </w:r>
      <w:r>
        <w:rPr>
          <w:rFonts w:hint="eastAsia" w:cs="黑体" w:asciiTheme="minorEastAsia" w:hAnsiTheme="minorEastAsia"/>
          <w:color w:val="000000"/>
          <w:kern w:val="0"/>
          <w:sz w:val="32"/>
          <w:szCs w:val="32"/>
        </w:rPr>
        <w:t>https://www.hn.jcy.gov.cn/xwfb/czxx/qtczxxgk/202206/1537346769879302144.html</w:t>
      </w:r>
      <w:r>
        <w:rPr>
          <w:rFonts w:hint="eastAsia" w:cs="黑体" w:asciiTheme="minorEastAsia" w:hAnsiTheme="minorEastAsia"/>
          <w:color w:val="000000"/>
          <w:kern w:val="0"/>
          <w:sz w:val="32"/>
          <w:szCs w:val="32"/>
        </w:rPr>
        <w:fldChar w:fldCharType="end"/>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一、财政拨款收入：指省本级财政当年拨付的资金。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二、其他收入：指除财政拨款收入、事业收入等以外的收入。主要是指非本级财政拨款收入、补助收入、存款利息收入等。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三、上年结转和结余：指以前年度尚未完成、结转到本年仍按原规定用途继续使用的资金，或项目已完成产生的结余资金。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四、年末结转和结余：指单位按有关规定结转到下年或以后年度继续使用的资金，或项目已完成产生的结余资金。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五、公共安全支出（类）检察（款）：指检察机关用于保障机构正常运行、开展检察业务工作的支出。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六、教育支出（类）进修及培训（款）培训支出（项）：指单位用于干警教育培训的支出。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七、社会保障和就业支出（类）行政事业单位离退休（款）未归口管理的行政单位离退休（项）：指单位用于未归口社保的离退休人员的工资性支出。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八、住房保障支出（类）住房改革支出（款）：指单位按照国家政策规定用于住房改革方面的支出。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（一）住房公积金（项）：指按照国家统一规定，按规定比例为职工缴纳的住房公积金。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（二）购房补贴（项）：指1998年住房分配货币化改革以后，按照国家房改政策规定，向无房职工、住房面积未达到规定标准的职工发放的住房补贴。</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十、项目支出：指在基本支出以外为完成特定任务和事业发展目标所发生的支出。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十一、“三公” 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bookmarkStart w:id="2" w:name="_Toc20411"/>
      <w:r>
        <w:rPr>
          <w:rFonts w:hint="eastAsia" w:cs="黑体" w:asciiTheme="minorEastAsia" w:hAnsiTheme="minorEastAsia"/>
          <w:color w:val="000000"/>
          <w:kern w:val="0"/>
          <w:sz w:val="32"/>
          <w:szCs w:val="32"/>
        </w:rPr>
        <w:t>2021年度部门整体支出绩效评价报告</w:t>
      </w:r>
      <w:bookmarkEnd w:id="2"/>
      <w:r>
        <w:rPr>
          <w:rFonts w:hint="eastAsia" w:cs="黑体" w:asciiTheme="minorEastAsia" w:hAnsiTheme="minorEastAsia"/>
          <w:color w:val="000000"/>
          <w:kern w:val="0"/>
          <w:sz w:val="32"/>
          <w:szCs w:val="32"/>
        </w:rPr>
        <w:t>由湖南省人民检察院统一编制。</w:t>
      </w:r>
    </w:p>
    <w:p>
      <w:p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网址为：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w:t>
      </w:r>
      <w:r>
        <w:fldChar w:fldCharType="begin"/>
      </w:r>
      <w:r>
        <w:instrText xml:space="preserve"> HYPERLINK "https://www.hn.jcy.gov.cn/xwfb/czxx/qtczxxgk/202206/1537346769879302144.html" </w:instrText>
      </w:r>
      <w:r>
        <w:fldChar w:fldCharType="separate"/>
      </w:r>
      <w:r>
        <w:rPr>
          <w:rFonts w:hint="eastAsia" w:cs="黑体" w:asciiTheme="minorEastAsia" w:hAnsiTheme="minorEastAsia"/>
          <w:color w:val="000000"/>
          <w:kern w:val="0"/>
          <w:sz w:val="32"/>
          <w:szCs w:val="32"/>
        </w:rPr>
        <w:t>https://www.hn.jcy.gov.cn/xwfb/czxx/qtczxxgk/202206/1537346769879302144.html</w:t>
      </w:r>
      <w:r>
        <w:rPr>
          <w:rFonts w:hint="eastAsia" w:cs="黑体" w:asciiTheme="minorEastAsia" w:hAnsiTheme="minorEastAsia"/>
          <w:color w:val="000000"/>
          <w:kern w:val="0"/>
          <w:sz w:val="32"/>
          <w:szCs w:val="32"/>
        </w:rPr>
        <w:fldChar w:fldCharType="end"/>
      </w:r>
      <w:r>
        <w:rPr>
          <w:rFonts w:hint="eastAsia" w:cs="黑体" w:asciiTheme="minorEastAsia" w:hAnsiTheme="minorEastAsia"/>
          <w:color w:val="000000"/>
          <w:kern w:val="0"/>
          <w:sz w:val="32"/>
          <w:szCs w:val="32"/>
        </w:rPr>
        <w:t>）</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6F9"/>
    <w:rsid w:val="0002229B"/>
    <w:rsid w:val="000273BD"/>
    <w:rsid w:val="000415B7"/>
    <w:rsid w:val="00041E3F"/>
    <w:rsid w:val="00055DAA"/>
    <w:rsid w:val="00061F7B"/>
    <w:rsid w:val="000658A3"/>
    <w:rsid w:val="00074155"/>
    <w:rsid w:val="000757AC"/>
    <w:rsid w:val="000873EF"/>
    <w:rsid w:val="000A3F69"/>
    <w:rsid w:val="000C56BD"/>
    <w:rsid w:val="00103957"/>
    <w:rsid w:val="00124A1F"/>
    <w:rsid w:val="00152C6D"/>
    <w:rsid w:val="00162D39"/>
    <w:rsid w:val="001678BD"/>
    <w:rsid w:val="00182373"/>
    <w:rsid w:val="00186948"/>
    <w:rsid w:val="001A3CB7"/>
    <w:rsid w:val="001A67DB"/>
    <w:rsid w:val="001C3C29"/>
    <w:rsid w:val="001D43E8"/>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B5338"/>
    <w:rsid w:val="004F5A0D"/>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B41E1"/>
    <w:rsid w:val="005D4D55"/>
    <w:rsid w:val="005E2CFB"/>
    <w:rsid w:val="005F2103"/>
    <w:rsid w:val="005F3D1C"/>
    <w:rsid w:val="0062378F"/>
    <w:rsid w:val="00640100"/>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E69D8"/>
    <w:rsid w:val="007F3657"/>
    <w:rsid w:val="00812ED5"/>
    <w:rsid w:val="008277D9"/>
    <w:rsid w:val="0084478C"/>
    <w:rsid w:val="0086638C"/>
    <w:rsid w:val="008A3E8D"/>
    <w:rsid w:val="008D3D7D"/>
    <w:rsid w:val="009237C4"/>
    <w:rsid w:val="00944C48"/>
    <w:rsid w:val="00950252"/>
    <w:rsid w:val="009657EE"/>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90C8C"/>
    <w:rsid w:val="00BB4A40"/>
    <w:rsid w:val="00BD6C3E"/>
    <w:rsid w:val="00BE3674"/>
    <w:rsid w:val="00C10681"/>
    <w:rsid w:val="00C3049A"/>
    <w:rsid w:val="00C31B1E"/>
    <w:rsid w:val="00C77645"/>
    <w:rsid w:val="00C82805"/>
    <w:rsid w:val="00CA0918"/>
    <w:rsid w:val="00CE04C3"/>
    <w:rsid w:val="00CE76A0"/>
    <w:rsid w:val="00CF3706"/>
    <w:rsid w:val="00D148C6"/>
    <w:rsid w:val="00D17A8A"/>
    <w:rsid w:val="00D415BA"/>
    <w:rsid w:val="00D5559C"/>
    <w:rsid w:val="00D63780"/>
    <w:rsid w:val="00D644EE"/>
    <w:rsid w:val="00D75489"/>
    <w:rsid w:val="00DD06FF"/>
    <w:rsid w:val="00DD5FE9"/>
    <w:rsid w:val="00E00C7A"/>
    <w:rsid w:val="00E209CF"/>
    <w:rsid w:val="00E37D6C"/>
    <w:rsid w:val="00E55B68"/>
    <w:rsid w:val="00E67BE6"/>
    <w:rsid w:val="00E8683C"/>
    <w:rsid w:val="00EA2B72"/>
    <w:rsid w:val="00ED7307"/>
    <w:rsid w:val="00EE45AA"/>
    <w:rsid w:val="00F04212"/>
    <w:rsid w:val="00F74360"/>
    <w:rsid w:val="00F766A9"/>
    <w:rsid w:val="00FB462F"/>
    <w:rsid w:val="00FE16FA"/>
    <w:rsid w:val="00FE328A"/>
    <w:rsid w:val="00FE6269"/>
    <w:rsid w:val="00FF5CD6"/>
    <w:rsid w:val="2ABFCDC4"/>
    <w:rsid w:val="327FB018"/>
    <w:rsid w:val="5EB5BF30"/>
    <w:rsid w:val="7F3D553B"/>
    <w:rsid w:val="97BFF578"/>
    <w:rsid w:val="AB1D538C"/>
    <w:rsid w:val="B32EF33C"/>
    <w:rsid w:val="BEFDC6EC"/>
    <w:rsid w:val="C3FF2CFF"/>
    <w:rsid w:val="EEDFF131"/>
    <w:rsid w:val="FCFD1DD0"/>
    <w:rsid w:val="FF2F2BDD"/>
    <w:rsid w:val="FFAFAC12"/>
    <w:rsid w:val="FFBF94FA"/>
    <w:rsid w:val="FFEF8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2331</Words>
  <Characters>13287</Characters>
  <Lines>110</Lines>
  <Paragraphs>31</Paragraphs>
  <TotalTime>17</TotalTime>
  <ScaleCrop>false</ScaleCrop>
  <LinksUpToDate>false</LinksUpToDate>
  <CharactersWithSpaces>15587</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2022-09-11T10:21:00Z</dcterms:created>
  <dc:creator>李航 null</dc:creator>
  <cp:lastModifiedBy>greatwall</cp:lastModifiedBy>
  <cp:lastPrinted>2022-10-30T11:00:00Z</cp:lastPrinted>
  <dcterms:modified xsi:type="dcterms:W3CDTF">2023-09-26T15:24:02Z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