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hAnsi="宋体" w:eastAsia="方正小标宋_GBK"/>
          <w:bCs/>
          <w:color w:val="000000" w:themeColor="text1"/>
          <w:sz w:val="44"/>
          <w:szCs w:val="44"/>
          <w:shd w:val="clear" w:color="auto" w:fill="FFFFFF"/>
          <w14:textFill>
            <w14:solidFill>
              <w14:schemeClr w14:val="tx1"/>
            </w14:solidFill>
          </w14:textFill>
        </w:rPr>
      </w:pPr>
    </w:p>
    <w:p>
      <w:pPr>
        <w:spacing w:line="560" w:lineRule="exact"/>
        <w:jc w:val="center"/>
        <w:rPr>
          <w:rFonts w:hint="eastAsia" w:ascii="方正小标宋_GBK" w:hAnsi="宋体" w:eastAsia="方正小标宋_GBK"/>
          <w:bCs/>
          <w:color w:val="000000" w:themeColor="text1"/>
          <w:sz w:val="44"/>
          <w:szCs w:val="44"/>
          <w:shd w:val="clear" w:color="auto" w:fill="FFFFFF"/>
          <w14:textFill>
            <w14:solidFill>
              <w14:schemeClr w14:val="tx1"/>
            </w14:solidFill>
          </w14:textFill>
        </w:rPr>
      </w:pPr>
      <w:bookmarkStart w:id="0" w:name="_GoBack"/>
      <w:r>
        <w:rPr>
          <w:rFonts w:hint="eastAsia" w:ascii="方正小标宋_GBK" w:hAnsi="宋体" w:eastAsia="方正小标宋_GBK"/>
          <w:bCs/>
          <w:color w:val="000000" w:themeColor="text1"/>
          <w:sz w:val="44"/>
          <w:szCs w:val="44"/>
          <w:shd w:val="clear" w:color="auto" w:fill="FFFFFF"/>
          <w14:textFill>
            <w14:solidFill>
              <w14:schemeClr w14:val="tx1"/>
            </w14:solidFill>
          </w14:textFill>
        </w:rPr>
        <w:t>郴州市苏仙区人民检察院工作报告</w:t>
      </w:r>
    </w:p>
    <w:bookmarkEnd w:id="0"/>
    <w:p>
      <w:pPr>
        <w:spacing w:line="560" w:lineRule="exact"/>
        <w:jc w:val="center"/>
        <w:rPr>
          <w:rFonts w:ascii="Times New Roman" w:hAnsi="Times New Roman" w:eastAsia="楷体_GB2312"/>
          <w:bCs/>
          <w:color w:val="000000" w:themeColor="text1"/>
          <w:sz w:val="30"/>
          <w:szCs w:val="30"/>
          <w:shd w:val="clear" w:color="auto" w:fill="FFFFFF"/>
          <w14:textFill>
            <w14:solidFill>
              <w14:schemeClr w14:val="tx1"/>
            </w14:solidFill>
          </w14:textFill>
        </w:rPr>
      </w:pPr>
      <w:r>
        <w:rPr>
          <w:rFonts w:ascii="Times New Roman" w:hAnsi="Times New Roman" w:eastAsia="楷体_GB2312"/>
          <w:color w:val="000000" w:themeColor="text1"/>
          <w:sz w:val="30"/>
          <w:szCs w:val="30"/>
          <w14:textFill>
            <w14:solidFill>
              <w14:schemeClr w14:val="tx1"/>
            </w14:solidFill>
          </w14:textFill>
        </w:rPr>
        <w:t>—202</w:t>
      </w:r>
      <w:r>
        <w:rPr>
          <w:rFonts w:hint="eastAsia" w:ascii="Times New Roman" w:hAnsi="Times New Roman" w:eastAsia="楷体_GB2312"/>
          <w:color w:val="000000" w:themeColor="text1"/>
          <w:sz w:val="30"/>
          <w:szCs w:val="30"/>
          <w14:textFill>
            <w14:solidFill>
              <w14:schemeClr w14:val="tx1"/>
            </w14:solidFill>
          </w14:textFill>
        </w:rPr>
        <w:t>1</w:t>
      </w:r>
      <w:r>
        <w:rPr>
          <w:rFonts w:ascii="Times New Roman" w:hAnsi="Times New Roman" w:eastAsia="楷体_GB2312"/>
          <w:color w:val="000000" w:themeColor="text1"/>
          <w:sz w:val="30"/>
          <w:szCs w:val="30"/>
          <w14:textFill>
            <w14:solidFill>
              <w14:schemeClr w14:val="tx1"/>
            </w14:solidFill>
          </w14:textFill>
        </w:rPr>
        <w:t>年</w:t>
      </w:r>
      <w:r>
        <w:rPr>
          <w:rFonts w:hint="eastAsia" w:ascii="Times New Roman" w:hAnsi="Times New Roman" w:eastAsia="楷体_GB2312"/>
          <w:color w:val="000000" w:themeColor="text1"/>
          <w:sz w:val="30"/>
          <w:szCs w:val="30"/>
          <w14:textFill>
            <w14:solidFill>
              <w14:schemeClr w14:val="tx1"/>
            </w14:solidFill>
          </w14:textFill>
        </w:rPr>
        <w:t>3</w:t>
      </w:r>
      <w:r>
        <w:rPr>
          <w:rFonts w:ascii="Times New Roman" w:hAnsi="Times New Roman" w:eastAsia="楷体_GB2312"/>
          <w:color w:val="000000" w:themeColor="text1"/>
          <w:sz w:val="30"/>
          <w:szCs w:val="30"/>
          <w14:textFill>
            <w14:solidFill>
              <w14:schemeClr w14:val="tx1"/>
            </w14:solidFill>
          </w14:textFill>
        </w:rPr>
        <w:t>月</w:t>
      </w:r>
      <w:r>
        <w:rPr>
          <w:rFonts w:hint="eastAsia" w:ascii="Times New Roman" w:hAnsi="Times New Roman" w:eastAsia="楷体_GB2312"/>
          <w:color w:val="000000" w:themeColor="text1"/>
          <w:sz w:val="30"/>
          <w:szCs w:val="30"/>
          <w:lang w:val="en-US" w:eastAsia="zh-CN"/>
          <w14:textFill>
            <w14:solidFill>
              <w14:schemeClr w14:val="tx1"/>
            </w14:solidFill>
          </w14:textFill>
        </w:rPr>
        <w:t>12</w:t>
      </w:r>
      <w:r>
        <w:rPr>
          <w:rFonts w:ascii="Times New Roman" w:hAnsi="Times New Roman" w:eastAsia="楷体_GB2312"/>
          <w:color w:val="000000" w:themeColor="text1"/>
          <w:sz w:val="30"/>
          <w:szCs w:val="30"/>
          <w14:textFill>
            <w14:solidFill>
              <w14:schemeClr w14:val="tx1"/>
            </w14:solidFill>
          </w14:textFill>
        </w:rPr>
        <w:t>日在苏仙区第五届人民代表大会第</w:t>
      </w:r>
      <w:r>
        <w:rPr>
          <w:rFonts w:hint="eastAsia" w:ascii="Times New Roman" w:hAnsi="Times New Roman" w:eastAsia="楷体_GB2312"/>
          <w:color w:val="000000" w:themeColor="text1"/>
          <w:sz w:val="30"/>
          <w:szCs w:val="30"/>
          <w14:textFill>
            <w14:solidFill>
              <w14:schemeClr w14:val="tx1"/>
            </w14:solidFill>
          </w14:textFill>
        </w:rPr>
        <w:t>五</w:t>
      </w:r>
      <w:r>
        <w:rPr>
          <w:rFonts w:ascii="Times New Roman" w:hAnsi="Times New Roman" w:eastAsia="楷体_GB2312"/>
          <w:color w:val="000000" w:themeColor="text1"/>
          <w:sz w:val="30"/>
          <w:szCs w:val="30"/>
          <w14:textFill>
            <w14:solidFill>
              <w14:schemeClr w14:val="tx1"/>
            </w14:solidFill>
          </w14:textFill>
        </w:rPr>
        <w:t>次会议上</w:t>
      </w:r>
      <w:r>
        <w:rPr>
          <w:rStyle w:val="7"/>
          <w:rFonts w:ascii="Times New Roman" w:hAnsi="Times New Roman" w:eastAsia="楷体_GB2312"/>
          <w:color w:val="000000" w:themeColor="text1"/>
          <w:sz w:val="30"/>
          <w:szCs w:val="30"/>
          <w14:textFill>
            <w14:solidFill>
              <w14:schemeClr w14:val="tx1"/>
            </w14:solidFill>
          </w14:textFill>
        </w:rPr>
        <w:t> </w:t>
      </w:r>
    </w:p>
    <w:p>
      <w:pPr>
        <w:spacing w:line="560" w:lineRule="exact"/>
        <w:jc w:val="center"/>
        <w:rPr>
          <w:rFonts w:ascii="楷体_GB2312" w:hAnsi="Times New Roman" w:eastAsia="楷体_GB2312"/>
          <w:color w:val="000000" w:themeColor="text1"/>
          <w:sz w:val="32"/>
          <w:szCs w:val="32"/>
          <w:shd w:val="clear" w:color="auto" w:fill="FFFFFF"/>
          <w14:textFill>
            <w14:solidFill>
              <w14:schemeClr w14:val="tx1"/>
            </w14:solidFill>
          </w14:textFill>
        </w:rPr>
      </w:pPr>
      <w:r>
        <w:rPr>
          <w:rFonts w:hint="eastAsia" w:ascii="楷体_GB2312" w:hAnsi="Times New Roman" w:eastAsia="楷体_GB2312"/>
          <w:color w:val="000000" w:themeColor="text1"/>
          <w:sz w:val="32"/>
          <w:szCs w:val="32"/>
          <w:shd w:val="clear" w:color="auto" w:fill="FFFFFF"/>
          <w14:textFill>
            <w14:solidFill>
              <w14:schemeClr w14:val="tx1"/>
            </w14:solidFill>
          </w14:textFill>
        </w:rPr>
        <w:t>区人民检察院检察长  胡永庆</w:t>
      </w:r>
    </w:p>
    <w:p>
      <w:pPr>
        <w:spacing w:line="560" w:lineRule="exact"/>
        <w:rPr>
          <w:rFonts w:ascii="Times New Roman" w:hAnsi="仿宋" w:eastAsia="仿宋"/>
          <w:color w:val="000000" w:themeColor="text1"/>
          <w:sz w:val="32"/>
          <w:szCs w:val="32"/>
          <w:shd w:val="clear" w:color="auto" w:fill="FFFFFF"/>
          <w14:textFill>
            <w14:solidFill>
              <w14:schemeClr w14:val="tx1"/>
            </w14:solidFill>
          </w14:textFill>
        </w:rPr>
      </w:pPr>
    </w:p>
    <w:p>
      <w:pPr>
        <w:spacing w:line="560" w:lineRule="exact"/>
        <w:rPr>
          <w:rFonts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仿宋" w:eastAsia="仿宋"/>
          <w:color w:val="000000" w:themeColor="text1"/>
          <w:sz w:val="32"/>
          <w:szCs w:val="32"/>
          <w:shd w:val="clear" w:color="auto" w:fill="FFFFFF"/>
          <w14:textFill>
            <w14:solidFill>
              <w14:schemeClr w14:val="tx1"/>
            </w14:solidFill>
          </w14:textFill>
        </w:rPr>
        <w:t>各位代表：</w:t>
      </w:r>
    </w:p>
    <w:p>
      <w:pPr>
        <w:spacing w:line="560" w:lineRule="exact"/>
        <w:ind w:firstLine="640" w:firstLineChars="20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仿宋" w:eastAsia="仿宋"/>
          <w:color w:val="000000" w:themeColor="text1"/>
          <w:sz w:val="32"/>
          <w:szCs w:val="32"/>
          <w:shd w:val="clear" w:color="auto" w:fill="FFFFFF"/>
          <w14:textFill>
            <w14:solidFill>
              <w14:schemeClr w14:val="tx1"/>
            </w14:solidFill>
          </w14:textFill>
        </w:rPr>
        <w:t>现在我代表区人民检察院向大会报告工作，请予审议，并请政协委员和其他列席会议的同志提出意见。</w:t>
      </w:r>
    </w:p>
    <w:p>
      <w:pPr>
        <w:spacing w:line="560" w:lineRule="exact"/>
        <w:jc w:val="center"/>
        <w:rPr>
          <w:rFonts w:ascii="仿宋" w:hAnsi="仿宋" w:eastAsia="仿宋" w:cs="仿宋"/>
          <w:color w:val="000000" w:themeColor="text1"/>
          <w:sz w:val="44"/>
          <w:szCs w:val="44"/>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20</w:t>
      </w:r>
      <w:r>
        <w:rPr>
          <w:rFonts w:hint="eastAsia" w:ascii="Times New Roman" w:hAnsi="Times New Roman" w:eastAsia="黑体"/>
          <w:color w:val="000000" w:themeColor="text1"/>
          <w:sz w:val="32"/>
          <w:szCs w:val="32"/>
          <w:shd w:val="clear" w:color="auto" w:fill="FFFFFF"/>
          <w14:textFill>
            <w14:solidFill>
              <w14:schemeClr w14:val="tx1"/>
            </w14:solidFill>
          </w14:textFill>
        </w:rPr>
        <w:t>20</w:t>
      </w:r>
      <w:r>
        <w:rPr>
          <w:rFonts w:ascii="Times New Roman" w:hAnsi="黑体" w:eastAsia="黑体"/>
          <w:color w:val="000000" w:themeColor="text1"/>
          <w:sz w:val="32"/>
          <w:szCs w:val="32"/>
          <w:shd w:val="clear" w:color="auto" w:fill="FFFFFF"/>
          <w14:textFill>
            <w14:solidFill>
              <w14:schemeClr w14:val="tx1"/>
            </w14:solidFill>
          </w14:textFill>
        </w:rPr>
        <w:t>年工作回顾</w:t>
      </w:r>
    </w:p>
    <w:p>
      <w:pPr>
        <w:spacing w:line="560" w:lineRule="exact"/>
        <w:ind w:firstLine="640" w:firstLineChars="200"/>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2020年，在区委和市检察院的正确领导，区人大及其常委会的有力监督，区政府、区政协以及社会各界的关心支持下，区人民检察院坚持以习近平新时代中国特色社会主义思想为指导，深入学习贯彻习近平法治思想、习近平总书记考察湖南、考察郴州重要讲话精神，认真贯彻落实区委决策部署和区五届人大四次会议决议，切实提高政治站位，自觉服务全区大局，全面履职担当作为，“四大检察”和“十大业务”全面发力，检察工作取得了新的成绩，</w:t>
      </w:r>
      <w:r>
        <w:rPr>
          <w:rFonts w:hint="eastAsia" w:ascii="仿宋" w:hAnsi="仿宋" w:eastAsia="仿宋" w:cs="仿宋"/>
          <w:color w:val="000000"/>
          <w:sz w:val="32"/>
          <w:szCs w:val="32"/>
          <w:shd w:val="clear" w:color="auto" w:fill="FFFFFF"/>
        </w:rPr>
        <w:t>在2020年度全市检察机关检察业务考评中排名全市第一</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spacing w:line="560" w:lineRule="exact"/>
        <w:ind w:firstLine="640" w:firstLineChars="200"/>
        <w:rPr>
          <w:rFonts w:ascii="黑体" w:hAnsi="黑体" w:eastAsia="黑体" w:cs="黑体"/>
          <w:color w:val="000000" w:themeColor="text1"/>
          <w:sz w:val="32"/>
          <w:szCs w:val="40"/>
          <w14:textFill>
            <w14:solidFill>
              <w14:schemeClr w14:val="tx1"/>
            </w14:solidFill>
          </w14:textFill>
        </w:rPr>
      </w:pPr>
      <w:r>
        <w:rPr>
          <w:rFonts w:hint="eastAsia" w:ascii="黑体" w:hAnsi="黑体" w:eastAsia="黑体" w:cs="黑体"/>
          <w:color w:val="000000" w:themeColor="text1"/>
          <w:sz w:val="32"/>
          <w:szCs w:val="40"/>
          <w14:textFill>
            <w14:solidFill>
              <w14:schemeClr w14:val="tx1"/>
            </w14:solidFill>
          </w14:textFill>
        </w:rPr>
        <w:t>一、在服务大局中定准位、勇</w:t>
      </w:r>
      <w:r>
        <w:rPr>
          <w:rFonts w:hint="eastAsia" w:ascii="黑体" w:hAnsi="黑体" w:eastAsia="黑体" w:cs="黑体"/>
          <w:color w:val="000000" w:themeColor="text1"/>
          <w:sz w:val="32"/>
          <w:szCs w:val="40"/>
          <w:lang w:val="en-US" w:eastAsia="zh-CN"/>
          <w14:textFill>
            <w14:solidFill>
              <w14:schemeClr w14:val="tx1"/>
            </w14:solidFill>
          </w14:textFill>
        </w:rPr>
        <w:t>担责</w:t>
      </w:r>
      <w:r>
        <w:rPr>
          <w:rFonts w:hint="eastAsia" w:ascii="黑体" w:hAnsi="黑体" w:eastAsia="黑体" w:cs="黑体"/>
          <w:color w:val="000000" w:themeColor="text1"/>
          <w:sz w:val="32"/>
          <w:szCs w:val="40"/>
          <w14:textFill>
            <w14:solidFill>
              <w14:schemeClr w14:val="tx1"/>
            </w14:solidFill>
          </w14:textFill>
        </w:rPr>
        <w:t>，</w:t>
      </w:r>
      <w:r>
        <w:rPr>
          <w:rFonts w:hint="eastAsia" w:ascii="黑体" w:hAnsi="黑体" w:eastAsia="黑体" w:cs="黑体"/>
          <w:color w:val="000000" w:themeColor="text1"/>
          <w:sz w:val="32"/>
          <w:szCs w:val="40"/>
          <w:lang w:val="en-US" w:eastAsia="zh-CN"/>
          <w14:textFill>
            <w14:solidFill>
              <w14:schemeClr w14:val="tx1"/>
            </w14:solidFill>
          </w14:textFill>
        </w:rPr>
        <w:t>体现</w:t>
      </w:r>
      <w:r>
        <w:rPr>
          <w:rFonts w:hint="eastAsia" w:ascii="黑体" w:hAnsi="黑体" w:eastAsia="黑体" w:cs="黑体"/>
          <w:color w:val="000000" w:themeColor="text1"/>
          <w:sz w:val="32"/>
          <w:szCs w:val="40"/>
          <w14:textFill>
            <w14:solidFill>
              <w14:schemeClr w14:val="tx1"/>
            </w14:solidFill>
          </w14:textFill>
        </w:rPr>
        <w:t>检察作为</w:t>
      </w:r>
    </w:p>
    <w:p>
      <w:pPr>
        <w:spacing w:line="560" w:lineRule="exact"/>
        <w:ind w:firstLine="640" w:firstLineChars="200"/>
        <w:rPr>
          <w:rFonts w:ascii="仿宋_GB2312"/>
          <w:color w:val="000000" w:themeColor="text1"/>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全力打好“三大攻坚战”。</w:t>
      </w:r>
      <w:r>
        <w:rPr>
          <w:rFonts w:hint="eastAsia" w:ascii="仿宋" w:hAnsi="仿宋" w:eastAsia="仿宋" w:cs="仿宋"/>
          <w:color w:val="000000" w:themeColor="text1"/>
          <w:sz w:val="32"/>
          <w:szCs w:val="32"/>
          <w14:textFill>
            <w14:solidFill>
              <w14:schemeClr w14:val="tx1"/>
            </w14:solidFill>
          </w14:textFill>
        </w:rPr>
        <w:t>聚焦防范、化解重大金融风险，全年办理非法吸收公众存款、集资诈骗、组织领导传销活动等涉众型经济犯罪案件5件11人。依法对以吸收老年人交纳养老预定金进行集资诈骗、非法吸收公众存款，涉案3800余万元，涉及574名受害人的刘某武等人提起公诉。办案中注重将追赃挽损与维护稳定一体考量，积极建议并依法督促公安机关开展追缴涉案款物工作，尽最大努力帮助受害老人挽回“养老钱”。着力开展脱贫攻坚工作，为驻点联系村和贫困群众提供帮扶资金18万元，持续推进司法救助助力脱贫攻坚，对因案致贫的群众发放国家司法救助金7万元，帮扶对象全部按期实现脱贫。切实护卫生态环境资源保护和污染防治工作，办理非法收购、出售珍贵、濒危野生动物、非法狩猎等案件23件37人。依法将在湖南、广东、河南等地长期从事珍贵、濒危野生动物交易犯罪的王某等20余人提起公诉，彻底斩断了一条跨越三省的非法野生动物交易链。</w:t>
      </w:r>
    </w:p>
    <w:p>
      <w:pPr>
        <w:spacing w:line="560" w:lineRule="exact"/>
        <w:ind w:left="105"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全心服务区委中心工作。</w:t>
      </w:r>
      <w:r>
        <w:rPr>
          <w:rFonts w:hint="eastAsia" w:ascii="仿宋" w:hAnsi="仿宋" w:eastAsia="仿宋" w:cs="仿宋"/>
          <w:color w:val="000000" w:themeColor="text1"/>
          <w:sz w:val="32"/>
          <w:szCs w:val="32"/>
          <w14:textFill>
            <w14:solidFill>
              <w14:schemeClr w14:val="tx1"/>
            </w14:solidFill>
          </w14:textFill>
        </w:rPr>
        <w:t>主动服务“六个苏仙”建设、“全面小康决胜年”战略部署，加大对寻衅滋事、阻工闹事、强迫交易等影响经济建设犯罪案件的打击力度，共批准逮捕此类案件12件，提起公诉14人，持续优化法治化营商环境。主动落实检察机关服务和保障民营企业发展的“12条措施”，开展“服务‘六稳’‘六保’护航民营企业发展”主题检察开放日活动，邀请驻区企业家代表走进检察机关，为企业家解答关心的司法办案和法律问题。审慎办理涉民营企业犯罪案件，对企业投资者、管理者、关键技术人员涉嫌犯罪的，坚持少捕、慎诉、慎羁押。对因修路而涉嫌非法占用农用地、案发后积极补办相关手续的民营企业“好人行”公司及其法人，区检察院在对该案组织公开听证后依法作出不起诉决定。</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全员投入疫情防控阻击战。</w:t>
      </w:r>
      <w:r>
        <w:rPr>
          <w:rFonts w:hint="eastAsia" w:ascii="仿宋" w:hAnsi="仿宋" w:eastAsia="仿宋" w:cs="仿宋"/>
          <w:color w:val="000000" w:themeColor="text1"/>
          <w:sz w:val="32"/>
          <w:szCs w:val="32"/>
          <w14:textFill>
            <w14:solidFill>
              <w14:schemeClr w14:val="tx1"/>
            </w14:solidFill>
          </w14:textFill>
        </w:rPr>
        <w:t>面对突如其来的新冠疫情，区检察院闻令而动，应疫而上，组织干警全员下沉参与龙骨井社区疫情防控，为夺取抗疫斗争胜利恪尽检察职责。根据疫情适时调整检察办案方式，从快批准逮捕涉疫刑事犯罪案件3件，提起公诉3人；组织民事行政检察干警深入</w:t>
      </w:r>
      <w:r>
        <w:rPr>
          <w:rFonts w:hint="eastAsia" w:ascii="仿宋" w:hAnsi="仿宋" w:eastAsia="仿宋" w:cs="仿宋"/>
          <w:sz w:val="32"/>
          <w:szCs w:val="32"/>
        </w:rPr>
        <w:t>乡镇街道、机关单位、医疗机构、药店等地，督查口罩价格、废弃口罩处置、医疗废物废水处理等情况，依法办理违规排放医疗废水等涉疫公益诉讼案件8件。</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二、在社会治理中抓重点、出实拳，深化检察担当</w:t>
      </w:r>
    </w:p>
    <w:p>
      <w:pPr>
        <w:spacing w:line="560" w:lineRule="exact"/>
        <w:ind w:firstLine="640" w:firstLineChars="200"/>
        <w:rPr>
          <w:rFonts w:hint="default" w:ascii="仿宋" w:hAnsi="仿宋" w:eastAsia="仿宋" w:cs="仿宋"/>
          <w:color w:val="000000" w:themeColor="text1"/>
          <w:sz w:val="32"/>
          <w:szCs w:val="40"/>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切实维护社会和谐稳定。</w:t>
      </w:r>
      <w:r>
        <w:rPr>
          <w:rFonts w:hint="eastAsia" w:ascii="仿宋" w:hAnsi="仿宋" w:eastAsia="仿宋" w:cs="仿宋"/>
          <w:color w:val="000000" w:themeColor="text1"/>
          <w:sz w:val="32"/>
          <w:szCs w:val="32"/>
          <w14:textFill>
            <w14:solidFill>
              <w14:schemeClr w14:val="tx1"/>
            </w14:solidFill>
          </w14:textFill>
        </w:rPr>
        <w:t>依法批准和决定逮捕各类刑事犯罪277件366人，</w:t>
      </w:r>
      <w:r>
        <w:rPr>
          <w:rFonts w:hint="eastAsia" w:ascii="仿宋" w:hAnsi="仿宋" w:eastAsia="仿宋" w:cs="仿宋"/>
          <w:color w:val="000000" w:themeColor="text1"/>
          <w:sz w:val="32"/>
          <w:szCs w:val="40"/>
          <w14:textFill>
            <w14:solidFill>
              <w14:schemeClr w14:val="tx1"/>
            </w14:solidFill>
          </w14:textFill>
        </w:rPr>
        <w:t>提起公诉407件545人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对严重暴力犯罪依法快捕快诉，批准逮捕故意杀人、抢劫、强奸等严重暴力犯罪案件18件23人。始终保持对毒品犯罪打击的高压态势，依法批准逮捕贩卖毒品、非法持有毒品、容留他人吸毒类案件85件115人。</w:t>
      </w:r>
      <w:r>
        <w:rPr>
          <w:rFonts w:hint="eastAsia" w:ascii="仿宋" w:hAnsi="仿宋" w:eastAsia="仿宋" w:cs="仿宋"/>
          <w:color w:val="000000" w:themeColor="text1"/>
          <w:sz w:val="32"/>
          <w:szCs w:val="40"/>
          <w:lang w:val="en-US" w:eastAsia="zh-CN"/>
          <w14:textFill>
            <w14:solidFill>
              <w14:schemeClr w14:val="tx1"/>
            </w14:solidFill>
          </w14:textFill>
        </w:rPr>
        <w:t>对侦查机关以非法持有毒品罪移送审查起诉的李某权，经过区检察院认真审查案件，最终改变案件定性，以贩卖毒品罪对李某权提起公诉，被法院依法判处有期徒刑12年。并深挖出李某权的贩毒下线李某彪，被法院依法判处有期徒刑一年。</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全面决胜扫黑除恶专项斗争。</w:t>
      </w:r>
      <w:r>
        <w:rPr>
          <w:rFonts w:hint="eastAsia" w:ascii="仿宋" w:hAnsi="仿宋" w:eastAsia="仿宋" w:cs="仿宋"/>
          <w:color w:val="000000" w:themeColor="text1"/>
          <w:sz w:val="32"/>
          <w:szCs w:val="32"/>
          <w14:textFill>
            <w14:solidFill>
              <w14:schemeClr w14:val="tx1"/>
            </w14:solidFill>
          </w14:textFill>
        </w:rPr>
        <w:t>强力推进扫黑除恶“六清”行动，对涉黑涉恶案件一律采取院领导包案办理、一律落实提前介入举措，2020年进入检察环节的涉黑涉恶案件全部“清零”，共受理提请批准逮捕涉黑涉恶案件15件40人，批准逮捕14件39人；受理移送审查起诉涉黑涉恶案件12件33人，提起公诉13件37人，一审判决13件37人。组建检察办案专班提前介入“4.07”涉黑案，</w:t>
      </w:r>
      <w:r>
        <w:rPr>
          <w:rFonts w:hint="eastAsia" w:ascii="仿宋" w:hAnsi="仿宋" w:eastAsia="仿宋" w:cs="仿宋"/>
          <w:sz w:val="32"/>
          <w:szCs w:val="32"/>
        </w:rPr>
        <w:t>向公安机关提出补证意见300余条，引导公安机关取证查实</w:t>
      </w:r>
      <w:r>
        <w:rPr>
          <w:rFonts w:hint="eastAsia" w:ascii="仿宋" w:hAnsi="仿宋" w:eastAsia="仿宋" w:cs="仿宋"/>
          <w:color w:val="000000" w:themeColor="text1"/>
          <w:sz w:val="32"/>
          <w:szCs w:val="32"/>
          <w14:textFill>
            <w14:solidFill>
              <w14:schemeClr w14:val="tx1"/>
            </w14:solidFill>
          </w14:textFill>
        </w:rPr>
        <w:t>犯罪事实100多起，查实团伙成员13人、批准逮捕11人</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坚持“是黑恶犯罪一个不放过，不是黑恶犯罪一个不凑数”，监督公安机关追捕、追诉犯罪嫌疑人12人，存疑不捕1人。追诉的陈某某组织卖淫、抢劫一案被依法判处有期徒刑五年六个月。对公安机关以涉嫌恶势力犯罪移送审查起诉的2名犯罪嫌疑人改变定性为普通犯罪。深入推动“行业清源”工作，坚持涉黑涉恶案件“一案一剖析”，对案件暴露出的项目建设环境、社会综合治理、基层党组织建设等方面的问题，制发检察建议15份，均得到相关部门整改落实。</w:t>
      </w:r>
    </w:p>
    <w:p>
      <w:pPr>
        <w:spacing w:line="560" w:lineRule="exact"/>
        <w:ind w:firstLine="640" w:firstLineChars="200"/>
        <w:rPr>
          <w:rFonts w:ascii="仿宋" w:hAnsi="仿宋" w:eastAsia="仿宋"/>
          <w:sz w:val="32"/>
          <w:szCs w:val="32"/>
        </w:rPr>
      </w:pPr>
      <w:r>
        <w:rPr>
          <w:rFonts w:hint="eastAsia" w:ascii="楷体" w:hAnsi="楷体" w:eastAsia="楷体" w:cs="楷体"/>
          <w:color w:val="000000" w:themeColor="text1"/>
          <w:sz w:val="32"/>
          <w:szCs w:val="32"/>
          <w14:textFill>
            <w14:solidFill>
              <w14:schemeClr w14:val="tx1"/>
            </w14:solidFill>
          </w14:textFill>
        </w:rPr>
        <w:t>积极推动市域社会治理现代化。</w:t>
      </w:r>
      <w:r>
        <w:rPr>
          <w:rFonts w:hint="eastAsia" w:ascii="仿宋" w:hAnsi="仿宋" w:eastAsia="仿宋" w:cs="仿宋"/>
          <w:color w:val="000000" w:themeColor="text1"/>
          <w:sz w:val="32"/>
          <w:szCs w:val="32"/>
          <w14:textFill>
            <w14:solidFill>
              <w14:schemeClr w14:val="tx1"/>
            </w14:solidFill>
          </w14:textFill>
        </w:rPr>
        <w:t>创新出台《第三方参与检察信访工作实施办法》，引入律师、心理咨询师等第三方力量共同参与信访案件审查和答复，有效促进息诉息访。全年受理各类申诉、控告、举报信访事项68件，信访案件7日内程序回复、3个月内办理过程或结果答复率均达100%，总结出的“三环节、三机制信访工作机制”被市检察院在全市检察机关推介，信访工作成效获得了高检院、省检察院的充分肯定。扎实开展刑罚执行监督，</w:t>
      </w:r>
      <w:r>
        <w:rPr>
          <w:rFonts w:hint="eastAsia" w:ascii="仿宋" w:hAnsi="仿宋" w:eastAsia="仿宋" w:cs="仿宋"/>
          <w:bCs/>
          <w:sz w:val="32"/>
          <w:szCs w:val="32"/>
        </w:rPr>
        <w:t>开展强制医疗专项检察，</w:t>
      </w:r>
      <w:r>
        <w:rPr>
          <w:rFonts w:hint="eastAsia" w:ascii="仿宋" w:hAnsi="仿宋" w:eastAsia="仿宋" w:cs="仿宋"/>
          <w:sz w:val="32"/>
          <w:szCs w:val="32"/>
        </w:rPr>
        <w:t>依法办理强制医疗监督案件4件4人；</w:t>
      </w:r>
      <w:r>
        <w:rPr>
          <w:rFonts w:hint="eastAsia" w:ascii="仿宋" w:hAnsi="仿宋" w:eastAsia="仿宋"/>
          <w:sz w:val="32"/>
          <w:szCs w:val="32"/>
        </w:rPr>
        <w:t>开展社区矫正专项检察，</w:t>
      </w:r>
      <w:r>
        <w:rPr>
          <w:rFonts w:hint="eastAsia" w:ascii="仿宋" w:hAnsi="仿宋" w:eastAsia="仿宋" w:cs="仿宋"/>
          <w:color w:val="000000" w:themeColor="text1"/>
          <w:sz w:val="32"/>
          <w:szCs w:val="32"/>
          <w14:textFill>
            <w14:solidFill>
              <w14:schemeClr w14:val="tx1"/>
            </w14:solidFill>
          </w14:textFill>
        </w:rPr>
        <w:t>针对社区矫正存在的问题</w:t>
      </w:r>
      <w:r>
        <w:rPr>
          <w:rFonts w:hint="eastAsia" w:ascii="仿宋" w:hAnsi="仿宋" w:eastAsia="仿宋"/>
          <w:sz w:val="32"/>
          <w:szCs w:val="32"/>
        </w:rPr>
        <w:t>发出纠正违法通知书43份、检察建议4份。</w:t>
      </w:r>
      <w:r>
        <w:rPr>
          <w:rFonts w:hint="eastAsia" w:ascii="仿宋" w:hAnsi="仿宋" w:eastAsia="仿宋" w:cs="仿宋"/>
          <w:color w:val="000000" w:themeColor="text1"/>
          <w:sz w:val="32"/>
          <w:szCs w:val="32"/>
          <w14:textFill>
            <w14:solidFill>
              <w14:schemeClr w14:val="tx1"/>
            </w14:solidFill>
          </w14:textFill>
        </w:rPr>
        <w:t>积极践行恢复性司法的理念，对轻伤害、交通肇事等案件，在批捕环节促进当事人和解14起。</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依法协力推进反腐败斗争</w:t>
      </w:r>
      <w:r>
        <w:rPr>
          <w:rFonts w:hint="eastAsia" w:ascii="仿宋" w:hAnsi="仿宋" w:eastAsia="仿宋" w:cs="仿宋"/>
          <w:color w:val="000000" w:themeColor="text1"/>
          <w:sz w:val="32"/>
          <w:szCs w:val="40"/>
          <w14:textFill>
            <w14:solidFill>
              <w14:schemeClr w14:val="tx1"/>
            </w14:solidFill>
          </w14:textFill>
        </w:rPr>
        <w:t>。进一步完善与区监察委的协作配合机制，做好提前介入引导侦查、协同落实认罪认罚从宽制度等工作，形成</w:t>
      </w:r>
      <w:r>
        <w:rPr>
          <w:rFonts w:hint="eastAsia" w:ascii="仿宋" w:hAnsi="仿宋" w:eastAsia="仿宋" w:cs="仿宋"/>
          <w:color w:val="000000" w:themeColor="text1"/>
          <w:sz w:val="32"/>
          <w:szCs w:val="32"/>
          <w14:textFill>
            <w14:solidFill>
              <w14:schemeClr w14:val="tx1"/>
            </w14:solidFill>
          </w14:textFill>
        </w:rPr>
        <w:t>打击</w:t>
      </w:r>
      <w:r>
        <w:rPr>
          <w:rFonts w:hint="eastAsia" w:ascii="仿宋" w:hAnsi="仿宋" w:eastAsia="仿宋" w:cs="仿宋"/>
          <w:color w:val="000000" w:themeColor="text1"/>
          <w:sz w:val="32"/>
          <w:szCs w:val="40"/>
          <w14:textFill>
            <w14:solidFill>
              <w14:schemeClr w14:val="tx1"/>
            </w14:solidFill>
          </w14:textFill>
        </w:rPr>
        <w:t>职务犯罪的</w:t>
      </w:r>
      <w:r>
        <w:rPr>
          <w:rFonts w:hint="eastAsia" w:ascii="仿宋" w:hAnsi="仿宋" w:eastAsia="仿宋" w:cs="仿宋"/>
          <w:color w:val="000000" w:themeColor="text1"/>
          <w:sz w:val="32"/>
          <w:szCs w:val="32"/>
          <w14:textFill>
            <w14:solidFill>
              <w14:schemeClr w14:val="tx1"/>
            </w14:solidFill>
          </w14:textFill>
        </w:rPr>
        <w:t>合力，全年办理</w:t>
      </w:r>
      <w:r>
        <w:rPr>
          <w:rFonts w:hint="eastAsia" w:ascii="仿宋" w:hAnsi="仿宋" w:eastAsia="仿宋" w:cs="仿宋"/>
          <w:color w:val="000000" w:themeColor="text1"/>
          <w:sz w:val="32"/>
          <w:szCs w:val="40"/>
          <w14:textFill>
            <w14:solidFill>
              <w14:schemeClr w14:val="tx1"/>
            </w14:solidFill>
          </w14:textFill>
        </w:rPr>
        <w:t>监察委移送审查起诉</w:t>
      </w:r>
      <w:r>
        <w:rPr>
          <w:rFonts w:hint="eastAsia" w:ascii="仿宋" w:hAnsi="仿宋" w:eastAsia="仿宋" w:cs="仿宋"/>
          <w:color w:val="000000" w:themeColor="text1"/>
          <w:sz w:val="32"/>
          <w:szCs w:val="32"/>
          <w14:textFill>
            <w14:solidFill>
              <w14:schemeClr w14:val="tx1"/>
            </w14:solidFill>
          </w14:textFill>
        </w:rPr>
        <w:t>职务犯罪案件7件7人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其中处级干部</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人，科级干部</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人。切实担负起检察机关</w:t>
      </w:r>
      <w:r>
        <w:rPr>
          <w:rFonts w:hint="eastAsia" w:ascii="仿宋" w:hAnsi="仿宋" w:eastAsia="仿宋" w:cs="仿宋"/>
          <w:color w:val="000000" w:themeColor="text1"/>
          <w:sz w:val="32"/>
          <w:szCs w:val="40"/>
          <w14:textFill>
            <w14:solidFill>
              <w14:schemeClr w14:val="tx1"/>
            </w14:solidFill>
          </w14:textFill>
        </w:rPr>
        <w:t>惩治</w:t>
      </w:r>
      <w:r>
        <w:rPr>
          <w:rFonts w:hint="eastAsia" w:ascii="仿宋" w:hAnsi="仿宋" w:eastAsia="仿宋" w:cs="仿宋"/>
          <w:color w:val="000000" w:themeColor="text1"/>
          <w:sz w:val="32"/>
          <w:szCs w:val="32"/>
          <w14:textFill>
            <w14:solidFill>
              <w14:schemeClr w14:val="tx1"/>
            </w14:solidFill>
          </w14:textFill>
        </w:rPr>
        <w:t>司法工作人员职务犯罪职责，依法查办司法工作人员徇私枉法相关职务犯罪案件１件1人。</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三、在深耕主业中强长项、补短板，彰显检察价值</w:t>
      </w:r>
    </w:p>
    <w:p>
      <w:pPr>
        <w:spacing w:line="560" w:lineRule="exact"/>
        <w:ind w:firstLine="640" w:firstLineChars="200"/>
        <w:rPr>
          <w:rFonts w:ascii="楷体" w:hAnsi="楷体" w:eastAsia="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把握重点做优刑事检察工作。</w:t>
      </w:r>
      <w:r>
        <w:rPr>
          <w:rFonts w:hint="eastAsia" w:ascii="仿宋" w:hAnsi="仿宋" w:eastAsia="仿宋" w:cs="仿宋"/>
          <w:color w:val="000000" w:themeColor="text1"/>
          <w:sz w:val="32"/>
          <w:szCs w:val="32"/>
          <w14:textFill>
            <w14:solidFill>
              <w14:schemeClr w14:val="tx1"/>
            </w14:solidFill>
          </w14:textFill>
        </w:rPr>
        <w:t>重点抓好刑事诉讼监督，从介入侦查、审查案件等渠道发现监督线索，全年监督公安机关立案5件，监督撤案1件，追捕犯罪嫌疑人29人，追诉漏罪11件、漏犯16人，追捕追诉案件均获法院有罪判决。追诉的王某组织卖淫、敲诈勒索、寻衅滋事案被依法判处有期徒刑12年。区检察院立案监督、追捕追诉等工作均处全市第一方阵。主动适应刑事案件结构变化，切实推动落实认罪认罚从宽制度，对认罪悔罪的502名犯罪嫌疑人适用认罪认罚从宽制度，占同期办结刑事案件人数的82%，量刑建议被采纳率为94%，327人适用简易或速裁程序审理终结，一审服判率为89.3%，收到了促进社会和谐、及时有效惩治犯罪、提升刑事诉讼效率的良好效果。</w:t>
      </w:r>
    </w:p>
    <w:p>
      <w:pPr>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加大力度做实民事行政检察工作。</w:t>
      </w:r>
      <w:r>
        <w:rPr>
          <w:rFonts w:hint="eastAsia" w:ascii="仿宋" w:hAnsi="仿宋" w:eastAsia="仿宋" w:cs="仿宋"/>
          <w:color w:val="000000" w:themeColor="text1"/>
          <w:sz w:val="32"/>
          <w:szCs w:val="32"/>
          <w14:textFill>
            <w14:solidFill>
              <w14:schemeClr w14:val="tx1"/>
            </w14:solidFill>
          </w14:textFill>
        </w:rPr>
        <w:t>全年受理民事行政诉讼监督案件34件，其中办理审判结果监督案件3件，办理审判程序违法监督案件12件，办理执行活动监督10件，支持起诉案件6件。在民事行政检察中，注重化解信访风险，在对案件充分调查核实的基础上，结合释法说理，努力促进“案结事了”、“案结人和”。办理的罗某申请监督案，经调查，原案系虚假诉讼，依法向法院发出再审检察建议，促使法院启动再审听证程序，维护了当事人的合法权益。在区法院立案大厅、郴县路沿线公交站牌设置民事行政检察宣传展板，</w:t>
      </w:r>
      <w:r>
        <w:rPr>
          <w:rFonts w:hint="eastAsia" w:ascii="仿宋" w:hAnsi="仿宋" w:eastAsia="仿宋" w:cs="仿宋"/>
          <w:sz w:val="32"/>
          <w:szCs w:val="32"/>
        </w:rPr>
        <w:t>畅通当事人申诉渠道，扩大</w:t>
      </w:r>
      <w:r>
        <w:rPr>
          <w:rFonts w:hint="eastAsia" w:ascii="仿宋" w:hAnsi="仿宋" w:eastAsia="仿宋" w:cs="仿宋"/>
          <w:sz w:val="32"/>
          <w:szCs w:val="32"/>
          <w:lang w:val="en-US" w:eastAsia="zh-CN"/>
        </w:rPr>
        <w:t>了</w:t>
      </w:r>
      <w:r>
        <w:rPr>
          <w:rFonts w:hint="eastAsia" w:ascii="仿宋" w:hAnsi="仿宋" w:eastAsia="仿宋" w:cs="仿宋"/>
          <w:sz w:val="32"/>
          <w:szCs w:val="32"/>
        </w:rPr>
        <w:t>民事行政检察知晓率</w:t>
      </w:r>
      <w:r>
        <w:rPr>
          <w:rFonts w:hint="eastAsia" w:ascii="仿宋" w:hAnsi="仿宋" w:eastAsia="仿宋" w:cs="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
          <w:color w:val="000000" w:themeColor="text1"/>
          <w:sz w:val="32"/>
          <w:szCs w:val="40"/>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积极稳妥做好公益诉讼工作。</w:t>
      </w:r>
      <w:r>
        <w:rPr>
          <w:rFonts w:hint="eastAsia" w:ascii="仿宋" w:hAnsi="仿宋" w:eastAsia="仿宋" w:cs="仿宋"/>
          <w:color w:val="000000" w:themeColor="text1"/>
          <w:sz w:val="32"/>
          <w:szCs w:val="40"/>
          <w14:textFill>
            <w14:solidFill>
              <w14:schemeClr w14:val="tx1"/>
            </w14:solidFill>
          </w14:textFill>
        </w:rPr>
        <w:t>全年受理公益诉讼案件线索86件，立案审查81件，立案审查数较去年同期上升575%；发出诉前检察建议69件，均获得整改落实。开展医疗废物废水管理处置安全专项检查活动，办理的对某口腔诊所违规排放医疗废水行为不依法履职行政公益诉讼案，被评为</w:t>
      </w:r>
      <w:r>
        <w:rPr>
          <w:rFonts w:hint="eastAsia" w:ascii="仿宋" w:hAnsi="仿宋" w:eastAsia="仿宋" w:cs="仿宋"/>
          <w:color w:val="000000" w:themeColor="text1"/>
          <w:sz w:val="32"/>
          <w:szCs w:val="40"/>
          <w:lang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全市检察机关公益诉讼十大优秀案件</w:t>
      </w:r>
      <w:r>
        <w:rPr>
          <w:rFonts w:hint="eastAsia" w:ascii="仿宋" w:hAnsi="仿宋" w:eastAsia="仿宋" w:cs="仿宋"/>
          <w:color w:val="000000" w:themeColor="text1"/>
          <w:sz w:val="32"/>
          <w:szCs w:val="40"/>
          <w:lang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开展国有财产保护专项检查活动，立案审查39件，挽回国有财产损失42.66万元，督促有关部门对违规申请、使用公共租赁住房的60余户对象予以了清理，对叶某华等人转借、转租公共租赁住房行为不依法履职行政公益诉讼</w:t>
      </w:r>
      <w:r>
        <w:rPr>
          <w:rFonts w:hint="eastAsia" w:ascii="仿宋" w:hAnsi="仿宋" w:eastAsia="仿宋" w:cs="仿宋"/>
          <w:color w:val="000000" w:themeColor="text1"/>
          <w:sz w:val="32"/>
          <w:szCs w:val="40"/>
          <w:lang w:val="en-US" w:eastAsia="zh-CN"/>
          <w14:textFill>
            <w14:solidFill>
              <w14:schemeClr w14:val="tx1"/>
            </w14:solidFill>
          </w14:textFill>
        </w:rPr>
        <w:t>案发出的</w:t>
      </w:r>
      <w:r>
        <w:rPr>
          <w:rFonts w:hint="eastAsia" w:ascii="仿宋" w:hAnsi="仿宋" w:eastAsia="仿宋" w:cs="仿宋"/>
          <w:color w:val="000000" w:themeColor="text1"/>
          <w:sz w:val="32"/>
          <w:szCs w:val="40"/>
          <w14:textFill>
            <w14:solidFill>
              <w14:schemeClr w14:val="tx1"/>
            </w14:solidFill>
          </w14:textFill>
        </w:rPr>
        <w:t>检察建议</w:t>
      </w:r>
      <w:r>
        <w:rPr>
          <w:rFonts w:hint="eastAsia" w:ascii="仿宋" w:hAnsi="仿宋" w:eastAsia="仿宋" w:cs="仿宋"/>
          <w:color w:val="000000" w:themeColor="text1"/>
          <w:sz w:val="32"/>
          <w:szCs w:val="40"/>
          <w:lang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被评为</w:t>
      </w:r>
      <w:r>
        <w:rPr>
          <w:rFonts w:hint="eastAsia" w:ascii="仿宋" w:hAnsi="仿宋" w:eastAsia="仿宋" w:cs="仿宋"/>
          <w:color w:val="000000" w:themeColor="text1"/>
          <w:sz w:val="32"/>
          <w:szCs w:val="40"/>
          <w:lang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全市检察机关十大行政公益优秀检察建议</w:t>
      </w:r>
      <w:r>
        <w:rPr>
          <w:rFonts w:hint="eastAsia" w:ascii="仿宋" w:hAnsi="仿宋" w:eastAsia="仿宋" w:cs="仿宋"/>
          <w:color w:val="000000" w:themeColor="text1"/>
          <w:sz w:val="32"/>
          <w:szCs w:val="40"/>
          <w:lang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开展潇湘红色资源保护公益诉讼专项活动，督促相关单位修复和保护烈士公墓设施2处。在全市检察机关率先建立公益诉讼检察观察员制度和举报奖励制度，聘请38名来自社会各界的热心人士为首届公益诉讼检察观察员；与区市场监督管理局、区住建局、区库区移民事务中心等单位建立协作配合机制，逐步形成全社会共同参与保护国家利益和社会公共利益的有利格局。</w:t>
      </w:r>
    </w:p>
    <w:p>
      <w:pPr>
        <w:spacing w:line="560" w:lineRule="exact"/>
        <w:ind w:firstLine="640"/>
        <w:rPr>
          <w:rFonts w:ascii="仿宋" w:hAnsi="仿宋" w:eastAsia="仿宋" w:cs="仿宋"/>
          <w:color w:val="000000" w:themeColor="text1"/>
          <w:sz w:val="32"/>
          <w:szCs w:val="40"/>
          <w14:textFill>
            <w14:solidFill>
              <w14:schemeClr w14:val="tx1"/>
            </w14:solidFill>
          </w14:textFill>
        </w:rPr>
      </w:pPr>
      <w:r>
        <w:rPr>
          <w:rFonts w:hint="eastAsia" w:ascii="楷体" w:hAnsi="楷体" w:eastAsia="楷体" w:cs="楷体"/>
          <w:sz w:val="32"/>
          <w:szCs w:val="40"/>
        </w:rPr>
        <w:t>全面履职护航未成年人成长。</w:t>
      </w:r>
      <w:r>
        <w:rPr>
          <w:rFonts w:hint="eastAsia" w:ascii="仿宋" w:hAnsi="仿宋" w:eastAsia="仿宋" w:cs="仿宋"/>
          <w:sz w:val="32"/>
          <w:szCs w:val="40"/>
        </w:rPr>
        <w:t>成立“未检”办案团队，最大限度保障未成年人合法权益。秉持“</w:t>
      </w:r>
      <w:r>
        <w:rPr>
          <w:rFonts w:hint="eastAsia" w:ascii="仿宋_GB2312" w:hAnsi="宋体" w:eastAsia="仿宋_GB2312" w:cs="黑体"/>
          <w:color w:val="000000"/>
          <w:sz w:val="32"/>
          <w:szCs w:val="32"/>
          <w:shd w:val="clear" w:color="auto" w:fill="FFFFFF"/>
        </w:rPr>
        <w:t>教育、感化、挽救</w:t>
      </w:r>
      <w:r>
        <w:rPr>
          <w:rFonts w:hint="eastAsia" w:ascii="仿宋" w:hAnsi="仿宋" w:eastAsia="仿宋" w:cs="仿宋"/>
          <w:sz w:val="32"/>
          <w:szCs w:val="40"/>
        </w:rPr>
        <w:t>”的理念，对涉嫌轻微犯罪且有悔意的未成年人不批准逮捕12人，不提起公诉14人；开展羁押必要性审查，及时为未成年人变更强制措施3件3人。坚持宽容不纵容，对犯罪情节严重的涉罪未成年人依法批准逮捕18人，提起公诉22人。</w:t>
      </w:r>
      <w:r>
        <w:rPr>
          <w:rFonts w:hint="eastAsia" w:ascii="仿宋" w:hAnsi="仿宋" w:eastAsia="仿宋" w:cs="仿宋"/>
          <w:color w:val="000000" w:themeColor="text1"/>
          <w:sz w:val="32"/>
          <w:szCs w:val="32"/>
          <w14:textFill>
            <w14:solidFill>
              <w14:schemeClr w14:val="tx1"/>
            </w14:solidFill>
          </w14:textFill>
        </w:rPr>
        <w:t>扎实开展未成年人法治宣教工作，开展“同舟共济、检护明天”检察开放日活动，走进辖区内中小学开展法治宣传教育12次。新冠疫情期间通过云直播的方式为在校学生开展法治宣讲活动，获得了2000余人次的在线观看，区检察院未成年人法治宣教工作经验被全省检察机关推介。</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40"/>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在固本强基中重自强、谋发展，提升检察形象</w:t>
      </w:r>
    </w:p>
    <w:p>
      <w:pPr>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坚持政治建检。</w:t>
      </w:r>
      <w:r>
        <w:rPr>
          <w:rFonts w:hint="eastAsia" w:ascii="仿宋" w:hAnsi="仿宋" w:eastAsia="仿宋" w:cs="仿宋"/>
          <w:color w:val="000000" w:themeColor="text1"/>
          <w:sz w:val="32"/>
          <w:szCs w:val="32"/>
          <w14:textFill>
            <w14:solidFill>
              <w14:schemeClr w14:val="tx1"/>
            </w14:solidFill>
          </w14:textFill>
        </w:rPr>
        <w:t>扎实开展政治理论学习，院党组中心组领学促学10次、组织全院集体政治学习4次，确保思想和行动与党中央保持高度一致。强化意识形态工作，深化理想信念教育，组织干警到桂东沙田、汝城沙洲等地开展红色革命教育、重温入党誓词活动。</w:t>
      </w:r>
      <w:r>
        <w:rPr>
          <w:rFonts w:hint="eastAsia" w:ascii="仿宋" w:hAnsi="仿宋" w:eastAsia="仿宋" w:cs="仿宋"/>
          <w:sz w:val="32"/>
          <w:szCs w:val="32"/>
        </w:rPr>
        <w:t>坚守检察宣传阵地，讲述检察好故事，在中央级媒体上发表检察宣传稿19篇，省级媒体上发表检察宣传稿36篇，区检察院被评为“全市宣传思想工作先进单位”。</w:t>
      </w:r>
      <w:r>
        <w:rPr>
          <w:rFonts w:hint="eastAsia" w:ascii="仿宋" w:hAnsi="仿宋" w:eastAsia="仿宋" w:cs="仿宋"/>
          <w:color w:val="000000" w:themeColor="text1"/>
          <w:sz w:val="32"/>
          <w:szCs w:val="32"/>
          <w14:textFill>
            <w14:solidFill>
              <w14:schemeClr w14:val="tx1"/>
            </w14:solidFill>
          </w14:textFill>
        </w:rPr>
        <w:t>以院党总支、支部委员换届为契机，选配了一批党性坚定、作风优良、能力出众的党务工作者，畅通贯彻落实党的政策的“神经末梢”。</w:t>
      </w:r>
    </w:p>
    <w:p>
      <w:pPr>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坚持素能强检。</w:t>
      </w:r>
      <w:r>
        <w:rPr>
          <w:rFonts w:hint="eastAsia" w:ascii="仿宋" w:hAnsi="仿宋" w:eastAsia="仿宋" w:cs="仿宋"/>
          <w:color w:val="000000" w:themeColor="text1"/>
          <w:sz w:val="32"/>
          <w:szCs w:val="32"/>
          <w14:textFill>
            <w14:solidFill>
              <w14:schemeClr w14:val="tx1"/>
            </w14:solidFill>
          </w14:textFill>
        </w:rPr>
        <w:t>以打造专业化队伍为目标，选派干警参加上级检察机关培训、调训80余人次，参加业务竞赛 10余次。倡导终身学习，开展多种形式的学习研讨活动6次。树立鲜明的干事导向，弘扬“工匠精神”，发掘、宣传并向上级部门推荐先进事迹和榜样人物20余人次，对业务能力突出、获得业务竞赛名次的干警进行表彰、奖励10人次；积极开展创先争优活动，鼓励部门和干警在各类业务评比活动中争先进位。区检察院办理的国家税务总局郴州市苏仙税务局对彭某未按规定申报缴纳税款行为不依法履职行政公益诉讼案被省检察院评为“2019至2020年度全省公益诉讼案件二十大优案”。</w:t>
      </w:r>
    </w:p>
    <w:p>
      <w:pPr>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全面从严治检。</w:t>
      </w:r>
      <w:r>
        <w:rPr>
          <w:rFonts w:hint="eastAsia" w:eastAsia="仿宋"/>
          <w:sz w:val="32"/>
          <w:szCs w:val="32"/>
        </w:rPr>
        <w:t>狠抓党风廉政建设和自身反腐败工作，常态化开展“三个以案”警示教育；加强队伍日常监督管理，院领导带队开展工作纪律督查37次，对违反工作纪律的干警落实惩戒措施4人次。</w:t>
      </w:r>
      <w:r>
        <w:rPr>
          <w:rFonts w:hint="eastAsia" w:ascii="仿宋" w:hAnsi="仿宋" w:eastAsia="仿宋" w:cs="仿宋"/>
          <w:color w:val="000000" w:themeColor="text1"/>
          <w:sz w:val="32"/>
          <w:szCs w:val="32"/>
          <w14:textFill>
            <w14:solidFill>
              <w14:schemeClr w14:val="tx1"/>
            </w14:solidFill>
          </w14:textFill>
        </w:rPr>
        <w:t>按照“逢问必录”的要求落实“三个规定”等重大事项记录报告制度，领导干部等“关键少数”带头记录报告，全年上报2例重大事项记录至市检察院。扎实做好巡察问题整改工作，对反馈的六个方面33个问题的整改实行台账式管理、项目式推进、责任制落实，形成整改工作资料13册，并有针对性的出台工作制度和工作细则14部，检察管理走向严、紧、硬。</w:t>
      </w:r>
    </w:p>
    <w:p>
      <w:pPr>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深化改革兴检。</w:t>
      </w:r>
      <w:r>
        <w:rPr>
          <w:rFonts w:hint="eastAsia" w:ascii="仿宋" w:hAnsi="仿宋" w:eastAsia="仿宋" w:cs="仿宋"/>
          <w:color w:val="000000" w:themeColor="text1"/>
          <w:sz w:val="32"/>
          <w:szCs w:val="32"/>
          <w14:textFill>
            <w14:solidFill>
              <w14:schemeClr w14:val="tx1"/>
            </w14:solidFill>
          </w14:textFill>
        </w:rPr>
        <w:t>进一步深化内设机构改革，按照省编办、省检察院核定的“三定方案”，将院内设机构合并设置为办公室、第一检察部、第二检察部、第三检察部、政治部等五个内设机构。主动推动“捕诉一体”机制平稳落地，切实提升办案效率，在全年审查起诉案件数量同比上升9%的情况下，案件审结率同比提高4.6个百分点，达到97.5%的历史新高。切实降低“案-件比”</w:t>
      </w:r>
      <w:r>
        <w:rPr>
          <w:rFonts w:hint="eastAsia" w:ascii="仿宋" w:hAnsi="仿宋" w:eastAsia="仿宋"/>
          <w:color w:val="000000" w:themeColor="text1"/>
          <w:sz w:val="32"/>
          <w:szCs w:val="32"/>
          <w14:textFill>
            <w14:solidFill>
              <w14:schemeClr w14:val="tx1"/>
            </w14:solidFill>
          </w14:textFill>
        </w:rPr>
        <w:t>，刑事案件</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案-件比</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从上年度的1：1.50降低为1：1.44，位居全市检察机关前列。</w:t>
      </w:r>
      <w:r>
        <w:rPr>
          <w:rFonts w:hint="eastAsia" w:ascii="仿宋" w:hAnsi="仿宋" w:eastAsia="仿宋" w:cs="仿宋"/>
          <w:color w:val="000000" w:themeColor="text1"/>
          <w:sz w:val="32"/>
          <w:szCs w:val="32"/>
          <w14:textFill>
            <w14:solidFill>
              <w14:schemeClr w14:val="tx1"/>
            </w14:solidFill>
          </w14:textFill>
        </w:rPr>
        <w:t>出台《员额检察官业绩考评方案》，突出对检察官学习能力、办案能力、廉洁自律能力的考核，让检察人员感受到实实在在的责任和压力。</w:t>
      </w:r>
    </w:p>
    <w:p>
      <w:pPr>
        <w:spacing w:line="560" w:lineRule="exact"/>
        <w:ind w:firstLine="64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五、在接受监督中更主动、更自觉，践行检察忠诚</w:t>
      </w:r>
    </w:p>
    <w:p>
      <w:pPr>
        <w:spacing w:line="560" w:lineRule="exact"/>
        <w:ind w:firstLine="64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始终坚持党的领导。</w:t>
      </w:r>
      <w:r>
        <w:rPr>
          <w:rFonts w:hint="eastAsia" w:ascii="仿宋" w:hAnsi="仿宋" w:eastAsia="仿宋" w:cs="仿宋"/>
          <w:color w:val="000000" w:themeColor="text1"/>
          <w:sz w:val="32"/>
          <w:szCs w:val="32"/>
          <w14:textFill>
            <w14:solidFill>
              <w14:schemeClr w14:val="tx1"/>
            </w14:solidFill>
          </w14:textFill>
        </w:rPr>
        <w:t>落实重大事项请示报告制度，全年向区委和上级检察机关汇报重要工作10余次，并首次在区委常委会议上客观全面地汇报了区检察院年度工作情况，得到了区委常委会的高度评价。</w:t>
      </w:r>
    </w:p>
    <w:p>
      <w:pPr>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主动接受人大及其常委会监督。</w:t>
      </w:r>
      <w:r>
        <w:rPr>
          <w:rFonts w:hint="eastAsia" w:ascii="仿宋" w:hAnsi="仿宋" w:eastAsia="仿宋" w:cs="仿宋"/>
          <w:color w:val="000000" w:themeColor="text1"/>
          <w:sz w:val="32"/>
          <w:szCs w:val="32"/>
          <w14:textFill>
            <w14:solidFill>
              <w14:schemeClr w14:val="tx1"/>
            </w14:solidFill>
          </w14:textFill>
        </w:rPr>
        <w:t>主动向区人大常委会汇报全年工作计划、内设机构改革、公益诉讼检察等重大部署、重要工作9次。邀请人大代表参加“检察开放日”5次、参会代表30余人次，方便代表了解检察工作、提出监督意见。</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自觉接受政协和社会各界监督。</w:t>
      </w:r>
      <w:r>
        <w:rPr>
          <w:rFonts w:hint="eastAsia" w:ascii="仿宋" w:hAnsi="仿宋" w:eastAsia="仿宋" w:cs="仿宋"/>
          <w:color w:val="000000" w:themeColor="text1"/>
          <w:sz w:val="32"/>
          <w:szCs w:val="32"/>
          <w14:textFill>
            <w14:solidFill>
              <w14:schemeClr w14:val="tx1"/>
            </w14:solidFill>
          </w14:textFill>
        </w:rPr>
        <w:t>客观全面地向区政协常委会通报检察工作，4次邀请政协委员走进检察机关参加主题活动。着力提高案件信息公开的比例、时效和质量，全年公开法律文书348份，程序性案件信息807条，重要案件信息13条，以阳光检务主动接受社会各界的监督</w:t>
      </w:r>
      <w:r>
        <w:rPr>
          <w:rFonts w:hint="eastAsia" w:ascii="仿宋_GB2312" w:hAnsi="仿宋" w:eastAsia="仿宋_GB2312"/>
          <w:color w:val="000000" w:themeColor="text1"/>
          <w:sz w:val="32"/>
          <w:szCs w:val="32"/>
          <w14:textFill>
            <w14:solidFill>
              <w14:schemeClr w14:val="tx1"/>
            </w14:solidFill>
          </w14:textFill>
        </w:rPr>
        <w:t>。邀请人民监督员参与案件质量评查，</w:t>
      </w:r>
      <w:r>
        <w:rPr>
          <w:rFonts w:hint="eastAsia" w:ascii="仿宋" w:hAnsi="仿宋" w:eastAsia="仿宋" w:cs="仿宋"/>
          <w:color w:val="000000" w:themeColor="text1"/>
          <w:sz w:val="32"/>
          <w:szCs w:val="32"/>
          <w14:textFill>
            <w14:solidFill>
              <w14:schemeClr w14:val="tx1"/>
            </w14:solidFill>
          </w14:textFill>
        </w:rPr>
        <w:t>为律师阅卷提供方便，免费为律师刻录案件光盘121张。</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位代表，在极不平凡的2020年，区检察院强化担当、砥砺前行，检察工作取得了一定的成绩，顺利通过“全省文明单位”复检，连续第六年被评为苏仙区“优秀领导班子”，荣获“全省检察机关扫黑除恶专项斗争先进集体”、“全省检察机关年度决算工作先进单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市级平安单位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2020年度郴州市巾帼文明岗</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等省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级集体荣誉</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项，</w:t>
      </w:r>
      <w:r>
        <w:rPr>
          <w:rFonts w:hint="eastAsia" w:ascii="仿宋" w:hAnsi="仿宋" w:eastAsia="仿宋" w:cs="仿宋"/>
          <w:color w:val="000000" w:themeColor="text1"/>
          <w:sz w:val="32"/>
          <w:szCs w:val="32"/>
          <w:lang w:val="en-US" w:eastAsia="zh-CN"/>
          <w14:textFill>
            <w14:solidFill>
              <w14:schemeClr w14:val="tx1"/>
            </w14:solidFill>
          </w14:textFill>
        </w:rPr>
        <w:t>涌现出</w:t>
      </w:r>
      <w:r>
        <w:rPr>
          <w:rFonts w:hint="eastAsia" w:ascii="仿宋" w:hAnsi="仿宋" w:eastAsia="仿宋" w:cs="仿宋"/>
          <w:color w:val="000000" w:themeColor="text1"/>
          <w:sz w:val="32"/>
          <w:szCs w:val="32"/>
          <w14:textFill>
            <w14:solidFill>
              <w14:schemeClr w14:val="tx1"/>
            </w14:solidFill>
          </w14:textFill>
        </w:rPr>
        <w:t>“全省检察机关扫黑除恶专项斗争先进个人”</w:t>
      </w:r>
      <w:r>
        <w:rPr>
          <w:rFonts w:hint="eastAsia" w:ascii="仿宋" w:hAnsi="仿宋" w:eastAsia="仿宋" w:cs="仿宋"/>
          <w:color w:val="000000" w:themeColor="text1"/>
          <w:sz w:val="32"/>
          <w:szCs w:val="32"/>
          <w:lang w:val="en-US" w:eastAsia="zh-CN"/>
          <w14:textFill>
            <w14:solidFill>
              <w14:schemeClr w14:val="tx1"/>
            </w14:solidFill>
          </w14:textFill>
        </w:rPr>
        <w:t>刘力、龙敏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“全省检察机关文化建设先进个人”</w:t>
      </w:r>
      <w:r>
        <w:rPr>
          <w:rFonts w:hint="eastAsia" w:ascii="仿宋" w:hAnsi="仿宋" w:eastAsia="仿宋" w:cs="仿宋"/>
          <w:color w:val="000000" w:themeColor="text1"/>
          <w:sz w:val="32"/>
          <w:szCs w:val="32"/>
          <w:lang w:val="en-US" w:eastAsia="zh-CN"/>
          <w14:textFill>
            <w14:solidFill>
              <w14:schemeClr w14:val="tx1"/>
            </w14:solidFill>
          </w14:textFill>
        </w:rPr>
        <w:t>雷翔永</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一批先进典型，有2名干警荣立二等功、5名干警荣立三等功</w:t>
      </w:r>
      <w:r>
        <w:rPr>
          <w:rFonts w:hint="eastAsia" w:ascii="仿宋" w:hAnsi="仿宋" w:eastAsia="仿宋" w:cs="仿宋"/>
          <w:color w:val="000000" w:themeColor="text1"/>
          <w:sz w:val="32"/>
          <w:szCs w:val="32"/>
          <w14:textFill>
            <w14:solidFill>
              <w14:schemeClr w14:val="tx1"/>
            </w14:solidFill>
          </w14:textFill>
        </w:rPr>
        <w:t>；检察业务佳绩频传，获评省级优秀案件2件，市级优秀案件5件，市级优秀检察建议4件；检察形象持续优化，民调公众满意度位列全区政法系统第一。这些成绩的取得离不开区委和市检察院的坚强领导，离不开区人大的有力监督，离不开区政府的大力支持，离不开区政协和社会各界的民主监督，离不开政法各家的支持和配合，在此，我代表区检察院和全体干警表示衷心的感谢！</w:t>
      </w:r>
    </w:p>
    <w:p>
      <w:pPr>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我们也清醒地认识到，检察工作还存在着一些不足：</w:t>
      </w:r>
      <w:r>
        <w:rPr>
          <w:rFonts w:hint="eastAsia" w:ascii="黑体" w:hAnsi="黑体" w:eastAsia="黑体" w:cs="黑体"/>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服务大局的工作措施还欠丰富，力度和成效都有待进一步增强；</w:t>
      </w:r>
      <w:r>
        <w:rPr>
          <w:rFonts w:hint="eastAsia" w:ascii="黑体" w:hAnsi="黑体" w:eastAsia="黑体" w:cs="黑体"/>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检察业务发展仍旧不平衡不充分，民事行政检察工作的短板依旧突出，尚难满足人民群众日益增长的法治需求；</w:t>
      </w:r>
      <w:r>
        <w:rPr>
          <w:rFonts w:hint="eastAsia" w:ascii="黑体" w:hAnsi="黑体" w:eastAsia="黑体" w:cs="黑体"/>
          <w:color w:val="000000" w:themeColor="text1"/>
          <w:sz w:val="32"/>
          <w:szCs w:val="32"/>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检察改革还处于深水期时，司法责任制还需进一步落实，相关配套政策还有待进一步健全完善；</w:t>
      </w:r>
      <w:r>
        <w:rPr>
          <w:rFonts w:hint="eastAsia" w:ascii="黑体" w:hAnsi="黑体" w:eastAsia="黑体" w:cs="黑体"/>
          <w:color w:val="000000" w:themeColor="text1"/>
          <w:sz w:val="32"/>
          <w:szCs w:val="32"/>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干警的素能与时代发展还不相适应，专业化能力还要进一步提升。我们将坚持问题导向，逐步加以解决。</w:t>
      </w:r>
    </w:p>
    <w:p>
      <w:pPr>
        <w:spacing w:line="560" w:lineRule="exact"/>
        <w:jc w:val="center"/>
        <w:rPr>
          <w:rFonts w:ascii="仿宋" w:hAnsi="仿宋" w:eastAsia="仿宋" w:cs="仿宋"/>
          <w:b/>
          <w:bCs/>
          <w:color w:val="000000" w:themeColor="text1"/>
          <w:sz w:val="32"/>
          <w:szCs w:val="32"/>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2021年工作安排</w:t>
      </w:r>
    </w:p>
    <w:p>
      <w:pPr>
        <w:spacing w:line="560" w:lineRule="exact"/>
        <w:ind w:firstLine="640"/>
        <w:jc w:val="left"/>
        <w:rPr>
          <w:rFonts w:ascii="黑体" w:hAnsi="Calibri" w:eastAsia="黑体"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2021年，是开启十四五征程的重要一年。</w:t>
      </w:r>
      <w:r>
        <w:rPr>
          <w:rFonts w:hint="eastAsia" w:ascii="黑体" w:hAnsi="Calibri" w:eastAsia="黑体" w:cs="Times New Roman"/>
          <w:color w:val="000000" w:themeColor="text1"/>
          <w:sz w:val="32"/>
          <w:szCs w:val="32"/>
          <w14:textFill>
            <w14:solidFill>
              <w14:schemeClr w14:val="tx1"/>
            </w14:solidFill>
          </w14:textFill>
        </w:rPr>
        <w:t>立足新起点，对标新任务，区检察院将坚持以习近平新时代中国特色社会主义思想为指导，深入贯彻落实党的十九大、十九届历次全会精神</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shd w:val="clear" w:color="auto" w:fill="FFFFFF"/>
          <w14:textFill>
            <w14:solidFill>
              <w14:schemeClr w14:val="tx1"/>
            </w14:solidFill>
          </w14:textFill>
        </w:rPr>
        <w:t>习近平总书记考察湖南、考察郴州重要讲话指示精神</w:t>
      </w:r>
      <w:r>
        <w:rPr>
          <w:rFonts w:hint="eastAsia" w:ascii="黑体" w:hAnsi="Calibri" w:eastAsia="黑体" w:cs="Times New Roman"/>
          <w:color w:val="000000" w:themeColor="text1"/>
          <w:sz w:val="32"/>
          <w:szCs w:val="32"/>
          <w14:textFill>
            <w14:solidFill>
              <w14:schemeClr w14:val="tx1"/>
            </w14:solidFill>
          </w14:textFill>
        </w:rPr>
        <w:t>和各级党委、检察机关决策部署，坚持“讲政治、顾大局、谋发展、重自强”的总体要求，更加注重系统观念、法治思维、强基导向，自觉抓重点、补短板、强基础、解难题，把检察职能行使融入区委区政府中心工作、经济社会发展大局，为苏仙经济社会的高质量发展贡献新的检察智慧和检察力量。</w:t>
      </w:r>
      <w:r>
        <w:rPr>
          <w:rFonts w:hint="eastAsia" w:ascii="仿宋" w:hAnsi="仿宋" w:eastAsia="仿宋" w:cs="仿宋"/>
          <w:color w:val="000000" w:themeColor="text1"/>
          <w:sz w:val="32"/>
          <w:szCs w:val="32"/>
          <w14:textFill>
            <w14:solidFill>
              <w14:schemeClr w14:val="tx1"/>
            </w14:solidFill>
          </w14:textFill>
        </w:rPr>
        <w:t>重点抓好以下四个方面工作。</w:t>
      </w:r>
    </w:p>
    <w:p>
      <w:pPr>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进一步融入中心，服务大局。</w:t>
      </w:r>
      <w:r>
        <w:rPr>
          <w:rFonts w:hint="eastAsia" w:ascii="仿宋" w:hAnsi="仿宋" w:eastAsia="仿宋" w:cs="仿宋"/>
          <w:color w:val="000000" w:themeColor="text1"/>
          <w:sz w:val="32"/>
          <w:szCs w:val="32"/>
          <w14:textFill>
            <w14:solidFill>
              <w14:schemeClr w14:val="tx1"/>
            </w14:solidFill>
          </w14:textFill>
        </w:rPr>
        <w:t>坚定不移坚持党的领导，抓实意识形态工作。坚决惩治危害国家安全、社会安定、人民安宁的犯罪行为，推进扫黑除恶常态化，保障社会大局稳定。进一步强化“一盘棋”理念，围绕苏仙“一城四区”建设</w:t>
      </w:r>
      <w:r>
        <w:rPr>
          <w:rFonts w:hint="eastAsia" w:ascii="仿宋" w:hAnsi="仿宋" w:eastAsia="仿宋" w:cs="仿宋"/>
          <w:color w:val="000000" w:themeColor="text1"/>
          <w:sz w:val="32"/>
          <w:szCs w:val="32"/>
          <w:shd w:val="clear" w:color="auto" w:fill="FFFFFF"/>
          <w14:textFill>
            <w14:solidFill>
              <w14:schemeClr w14:val="tx1"/>
            </w14:solidFill>
          </w14:textFill>
        </w:rPr>
        <w:t>，围绕改革发展稳定的各项重点任务，谋划做好检察服务保障工作，将</w:t>
      </w:r>
      <w:r>
        <w:rPr>
          <w:rFonts w:hint="eastAsia" w:ascii="仿宋" w:hAnsi="仿宋" w:eastAsia="仿宋" w:cs="仿宋"/>
          <w:color w:val="000000" w:themeColor="text1"/>
          <w:sz w:val="32"/>
          <w:szCs w:val="32"/>
          <w14:textFill>
            <w14:solidFill>
              <w14:schemeClr w14:val="tx1"/>
            </w14:solidFill>
          </w14:textFill>
        </w:rPr>
        <w:t>“三个效果”的统一</w:t>
      </w:r>
      <w:r>
        <w:rPr>
          <w:rFonts w:hint="eastAsia" w:ascii="仿宋" w:hAnsi="仿宋" w:eastAsia="仿宋" w:cs="仿宋"/>
          <w:color w:val="000000" w:themeColor="text1"/>
          <w:sz w:val="32"/>
          <w:szCs w:val="32"/>
          <w:shd w:val="clear" w:color="auto" w:fill="FFFFFF"/>
          <w14:textFill>
            <w14:solidFill>
              <w14:schemeClr w14:val="tx1"/>
            </w14:solidFill>
          </w14:textFill>
        </w:rPr>
        <w:t>体现在每一起案件的</w:t>
      </w:r>
      <w:r>
        <w:rPr>
          <w:rFonts w:hint="eastAsia" w:ascii="仿宋" w:hAnsi="仿宋" w:eastAsia="仿宋" w:cs="仿宋"/>
          <w:color w:val="000000" w:themeColor="text1"/>
          <w:sz w:val="32"/>
          <w:szCs w:val="32"/>
          <w14:textFill>
            <w14:solidFill>
              <w14:schemeClr w14:val="tx1"/>
            </w14:solidFill>
          </w14:textFill>
        </w:rPr>
        <w:t>办理当中。坚持目标、问题、效果导向，扎实推进区检察院市域社会治理现代化试点工作任务。</w:t>
      </w:r>
    </w:p>
    <w:p>
      <w:pPr>
        <w:spacing w:line="560" w:lineRule="exact"/>
        <w:ind w:firstLine="640"/>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进一步补齐短板，强化履职。</w:t>
      </w:r>
      <w:r>
        <w:rPr>
          <w:rFonts w:hint="eastAsia" w:ascii="仿宋" w:hAnsi="仿宋" w:eastAsia="仿宋" w:cs="仿宋"/>
          <w:color w:val="000000" w:themeColor="text1"/>
          <w:sz w:val="32"/>
          <w:szCs w:val="32"/>
          <w14:textFill>
            <w14:solidFill>
              <w14:schemeClr w14:val="tx1"/>
            </w14:solidFill>
          </w14:textFill>
        </w:rPr>
        <w:t>继续深化监督，在办案中发现监督线索，在监督中促进社会治理。加强对刑事诉讼活动和结果的监督，加强刑事执行监督，自觉落实司法监督制约机制，保障法律的统一正确施行。以全面实施民法典为契机，践行精准监督理念，继续加大工作力度，抓住民事行政检察重点做大规模、做出效果。聚焦人民群众的关心关切，结合地方实际把握公益保护侧重点，积极稳妥拓宽公益诉讼监督的范围，将检察机关维护公共利益的名片进一步“擦亮”。</w:t>
      </w:r>
    </w:p>
    <w:p>
      <w:pPr>
        <w:spacing w:line="560" w:lineRule="exact"/>
        <w:ind w:firstLine="640"/>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进一步深化改革，促进发展。</w:t>
      </w:r>
      <w:r>
        <w:rPr>
          <w:rFonts w:hint="eastAsia" w:ascii="仿宋" w:hAnsi="仿宋" w:eastAsia="仿宋" w:cs="仿宋"/>
          <w:color w:val="000000" w:themeColor="text1"/>
          <w:sz w:val="32"/>
          <w:szCs w:val="32"/>
          <w14:textFill>
            <w14:solidFill>
              <w14:schemeClr w14:val="tx1"/>
            </w14:solidFill>
          </w14:textFill>
        </w:rPr>
        <w:t>健全完善检察权内部监督制约机制，继续降低“案-件比”，规范办案行为，提升办案质效。完善检察官业绩考评指标设置，健全检察官对案件质量终身负责的各项制度，探索检察人员的分类考核办法，推动检察业务的全面发展。推动接受外部监督更加制度化常态化，让检察权在阳光下运行。抓住全国检察机关加强基层检察院建设的契机，推动检察工作信息化智能化发展。</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进一步淬炼队伍，培根筑基。</w:t>
      </w:r>
      <w:r>
        <w:rPr>
          <w:rFonts w:hint="eastAsia" w:ascii="仿宋" w:hAnsi="仿宋" w:eastAsia="仿宋" w:cs="仿宋"/>
          <w:color w:val="000000" w:themeColor="text1"/>
          <w:sz w:val="32"/>
          <w:szCs w:val="32"/>
          <w14:textFill>
            <w14:solidFill>
              <w14:schemeClr w14:val="tx1"/>
            </w14:solidFill>
          </w14:textFill>
        </w:rPr>
        <w:t>持续深入学习习近平新时代中国特色社会主义思想和党的先进理论思想，在反复“回炉”“淬火”中增强“四个意识”，坚定“四个自信”，做到“两个维护”。适应新时代要求，开展各种形式的学习练兵行动，推进专业化团队建设，锻造一批“叫得响”的能者干将。进一步压实党组党风廉政建设工作责任，切实开展好党史学习教育活动，狠抓政法队伍教育整顿工作落实，进一步完善管理制度，从严监督执纪，做到严管与厚爱相结合，营造风清气正的良好氛围。</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位代表，蓝图已绘就，使命在召唤，奋进正当时。2021年，面对新的发展阶段、新的目标任务，区检察院将继续坚持党的领导，坚持以人民为中心的发展思想，认真落实好区委的决策部署和本次会议的各项决议，努力为服务全区经济社会高质量发展、促进社会治理体系和治理能力现代化作出新的更大的贡献，以优异的成绩迎接中国共产党建党一百周年！</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rPr>
          <w:rFonts w:eastAsia="黑体"/>
          <w:kern w:val="0"/>
          <w:szCs w:val="32"/>
        </w:rPr>
      </w:pPr>
    </w:p>
    <w:p>
      <w:pPr>
        <w:rPr>
          <w:rFonts w:eastAsia="黑体"/>
          <w:kern w:val="0"/>
          <w:sz w:val="32"/>
          <w:szCs w:val="32"/>
        </w:rPr>
      </w:pPr>
      <w:r>
        <w:rPr>
          <w:rFonts w:eastAsia="黑体"/>
          <w:kern w:val="0"/>
          <w:sz w:val="32"/>
          <w:szCs w:val="32"/>
        </w:rPr>
        <w:t>附件</w:t>
      </w:r>
      <w:r>
        <w:rPr>
          <w:rFonts w:hint="eastAsia" w:eastAsia="黑体"/>
          <w:kern w:val="0"/>
          <w:sz w:val="32"/>
          <w:szCs w:val="32"/>
        </w:rPr>
        <w:t>：</w:t>
      </w:r>
      <w:r>
        <w:rPr>
          <w:rFonts w:eastAsia="黑体"/>
          <w:kern w:val="0"/>
          <w:sz w:val="32"/>
          <w:szCs w:val="32"/>
        </w:rPr>
        <w:t>有关用语说明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1</w:t>
      </w:r>
      <w:r>
        <w:rPr>
          <w:rFonts w:hint="eastAsia" w:ascii="楷体" w:hAnsi="楷体" w:eastAsia="楷体" w:cs="楷体"/>
          <w:kern w:val="0"/>
          <w:sz w:val="32"/>
          <w:szCs w:val="32"/>
        </w:rPr>
        <w:t>、“四大检察”（第</w:t>
      </w:r>
      <w:r>
        <w:rPr>
          <w:rFonts w:hint="eastAsia" w:ascii="楷体" w:hAnsi="楷体" w:eastAsia="楷体" w:cs="楷体"/>
          <w:kern w:val="0"/>
          <w:sz w:val="32"/>
          <w:szCs w:val="32"/>
          <w:lang w:val="en-US" w:eastAsia="zh-CN"/>
        </w:rPr>
        <w:t>1</w:t>
      </w:r>
      <w:r>
        <w:rPr>
          <w:rFonts w:hint="eastAsia" w:ascii="楷体" w:hAnsi="楷体" w:eastAsia="楷体" w:cs="楷体"/>
          <w:kern w:val="0"/>
          <w:sz w:val="32"/>
          <w:szCs w:val="32"/>
        </w:rPr>
        <w:t>页第</w:t>
      </w:r>
      <w:r>
        <w:rPr>
          <w:rFonts w:hint="eastAsia" w:ascii="楷体" w:hAnsi="楷体" w:eastAsia="楷体" w:cs="楷体"/>
          <w:kern w:val="0"/>
          <w:sz w:val="32"/>
          <w:szCs w:val="32"/>
          <w:lang w:val="en-US" w:eastAsia="zh-CN"/>
        </w:rPr>
        <w:t>11</w:t>
      </w:r>
      <w:r>
        <w:rPr>
          <w:rFonts w:hint="eastAsia" w:ascii="楷体" w:hAnsi="楷体" w:eastAsia="楷体" w:cs="楷体"/>
          <w:kern w:val="0"/>
          <w:sz w:val="32"/>
          <w:szCs w:val="32"/>
        </w:rPr>
        <w:t>行）：</w:t>
      </w:r>
      <w:r>
        <w:rPr>
          <w:rFonts w:hint="eastAsia" w:ascii="仿宋" w:hAnsi="仿宋" w:eastAsia="仿宋" w:cs="仿宋"/>
          <w:kern w:val="0"/>
          <w:sz w:val="32"/>
          <w:szCs w:val="32"/>
        </w:rPr>
        <w:t>即将检察职能系统地划分为刑事检察、民事检察、行政检察、公益诉讼检察。</w:t>
      </w:r>
    </w:p>
    <w:p>
      <w:pPr>
        <w:pStyle w:val="8"/>
        <w:ind w:firstLine="640" w:firstLineChars="200"/>
        <w:rPr>
          <w:rFonts w:hint="eastAsia" w:ascii="楷体" w:hAnsi="楷体" w:eastAsia="楷体" w:cs="楷体"/>
          <w:sz w:val="32"/>
          <w:szCs w:val="32"/>
          <w:lang w:val="en-US" w:eastAsia="zh-CN"/>
        </w:rPr>
      </w:pP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、“十大业务”（第</w:t>
      </w:r>
      <w:r>
        <w:rPr>
          <w:rFonts w:hint="eastAsia" w:ascii="楷体" w:hAnsi="楷体" w:eastAsia="楷体" w:cs="楷体"/>
          <w:kern w:val="0"/>
          <w:sz w:val="32"/>
          <w:szCs w:val="32"/>
          <w:lang w:val="en-US" w:eastAsia="zh-CN"/>
        </w:rPr>
        <w:t>1</w:t>
      </w:r>
      <w:r>
        <w:rPr>
          <w:rFonts w:hint="eastAsia" w:ascii="楷体" w:hAnsi="楷体" w:eastAsia="楷体" w:cs="楷体"/>
          <w:kern w:val="0"/>
          <w:sz w:val="32"/>
          <w:szCs w:val="32"/>
        </w:rPr>
        <w:t>页第</w:t>
      </w:r>
      <w:r>
        <w:rPr>
          <w:rFonts w:hint="eastAsia" w:ascii="楷体" w:hAnsi="楷体" w:eastAsia="楷体" w:cs="楷体"/>
          <w:kern w:val="0"/>
          <w:sz w:val="32"/>
          <w:szCs w:val="32"/>
          <w:lang w:val="en-US" w:eastAsia="zh-CN"/>
        </w:rPr>
        <w:t>11</w:t>
      </w:r>
      <w:r>
        <w:rPr>
          <w:rFonts w:hint="eastAsia" w:ascii="楷体" w:hAnsi="楷体" w:eastAsia="楷体" w:cs="楷体"/>
          <w:kern w:val="0"/>
          <w:sz w:val="32"/>
          <w:szCs w:val="32"/>
        </w:rPr>
        <w:t>行）：</w:t>
      </w:r>
      <w:r>
        <w:rPr>
          <w:rFonts w:hint="eastAsia" w:ascii="仿宋" w:hAnsi="仿宋" w:eastAsia="仿宋" w:cs="仿宋"/>
          <w:kern w:val="0"/>
          <w:sz w:val="32"/>
          <w:szCs w:val="32"/>
        </w:rPr>
        <w:t>即按照案件类型将检察业务划分为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"http://www.jcrb.com/procuratorate/sdyw/ptfz/"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普通犯罪检察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"http://www.jcrb.com/procuratorate/sdyw/zdfz/"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重大犯罪检察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"http://www.jcrb.com/procuratorate/sdyw/zwfz/"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职务犯罪检察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"http://www.jcrb.com/procuratorate/sdyw/jjfz/"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经济犯罪检察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"http://www.jcrb.com/procuratorate/sdyw/xszx/"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刑事执行检察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"http://www.jcrb.com/procuratorate/sdyw/msjc/"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民事检察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"http://www.jcrb.com/procuratorate/sdyw/xzjc/"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行政检察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"http://www.jcrb.com/procuratorate/sdyw/gyss/"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公益诉讼检察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"http://www.jcrb.com/procuratorate/sdyw/wcnr/"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未成年人检察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"http://www.jcrb.com/procuratorate/sdyw/kgss/"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控告申诉检察</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服务保障民营经济高质量发展的“12条措施”</w:t>
      </w: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页第</w:t>
      </w:r>
      <w:r>
        <w:rPr>
          <w:rFonts w:hint="eastAsia" w:ascii="仿宋" w:hAnsi="仿宋" w:eastAsia="仿宋" w:cs="仿宋"/>
          <w:kern w:val="0"/>
          <w:sz w:val="32"/>
          <w:szCs w:val="32"/>
          <w:lang w:val="en-US" w:eastAsia="zh-CN"/>
        </w:rPr>
        <w:t>14</w:t>
      </w:r>
      <w:r>
        <w:rPr>
          <w:rFonts w:hint="eastAsia" w:ascii="仿宋" w:hAnsi="仿宋" w:eastAsia="仿宋" w:cs="仿宋"/>
          <w:kern w:val="0"/>
          <w:sz w:val="32"/>
          <w:szCs w:val="32"/>
        </w:rPr>
        <w:t>行）</w:t>
      </w:r>
      <w:r>
        <w:rPr>
          <w:rFonts w:hint="eastAsia" w:ascii="楷体" w:hAnsi="楷体" w:eastAsia="楷体" w:cs="楷体"/>
          <w:sz w:val="32"/>
          <w:szCs w:val="32"/>
          <w:lang w:eastAsia="zh-CN"/>
        </w:rPr>
        <w:t>：</w:t>
      </w:r>
      <w:r>
        <w:rPr>
          <w:rFonts w:hint="eastAsia" w:ascii="仿宋" w:hAnsi="仿宋" w:eastAsia="仿宋" w:cs="仿宋"/>
          <w:sz w:val="32"/>
          <w:szCs w:val="32"/>
        </w:rPr>
        <w:t>2019年3月7日</w:t>
      </w:r>
      <w:r>
        <w:rPr>
          <w:rFonts w:hint="eastAsia" w:ascii="仿宋" w:hAnsi="仿宋" w:eastAsia="仿宋" w:cs="仿宋"/>
          <w:sz w:val="32"/>
          <w:szCs w:val="32"/>
          <w:lang w:eastAsia="zh-CN"/>
        </w:rPr>
        <w:t>，</w:t>
      </w:r>
      <w:r>
        <w:rPr>
          <w:rFonts w:hint="eastAsia" w:ascii="仿宋" w:hAnsi="仿宋" w:eastAsia="仿宋" w:cs="仿宋"/>
          <w:sz w:val="32"/>
          <w:szCs w:val="32"/>
        </w:rPr>
        <w:t>郴州市人民检察院制发《关于依法服务和保障民营经济高质量发展的意见》</w:t>
      </w:r>
      <w:r>
        <w:rPr>
          <w:rFonts w:hint="eastAsia" w:ascii="仿宋" w:hAnsi="仿宋" w:eastAsia="仿宋" w:cs="仿宋"/>
          <w:sz w:val="32"/>
          <w:szCs w:val="32"/>
          <w:lang w:eastAsia="zh-CN"/>
        </w:rPr>
        <w:t>，</w:t>
      </w:r>
      <w:r>
        <w:rPr>
          <w:rFonts w:hint="eastAsia" w:ascii="仿宋" w:hAnsi="仿宋" w:eastAsia="仿宋" w:cs="仿宋"/>
          <w:sz w:val="32"/>
          <w:szCs w:val="32"/>
        </w:rPr>
        <w:t>文件共12条</w:t>
      </w:r>
      <w:r>
        <w:rPr>
          <w:rFonts w:hint="eastAsia" w:ascii="仿宋" w:hAnsi="仿宋" w:eastAsia="仿宋" w:cs="仿宋"/>
          <w:sz w:val="32"/>
          <w:szCs w:val="32"/>
          <w:lang w:eastAsia="zh-CN"/>
        </w:rPr>
        <w:t>，</w:t>
      </w:r>
      <w:r>
        <w:rPr>
          <w:rFonts w:hint="eastAsia" w:ascii="仿宋" w:hAnsi="仿宋" w:eastAsia="仿宋" w:cs="仿宋"/>
          <w:sz w:val="32"/>
          <w:szCs w:val="32"/>
        </w:rPr>
        <w:t>简称“12条措施”</w:t>
      </w:r>
      <w:r>
        <w:rPr>
          <w:rFonts w:hint="eastAsia" w:ascii="仿宋" w:hAnsi="仿宋" w:eastAsia="仿宋" w:cs="仿宋"/>
          <w:sz w:val="32"/>
          <w:szCs w:val="32"/>
          <w:lang w:eastAsia="zh-CN"/>
        </w:rPr>
        <w:t>，</w:t>
      </w:r>
      <w:r>
        <w:rPr>
          <w:rFonts w:hint="eastAsia" w:ascii="仿宋" w:hAnsi="仿宋" w:eastAsia="仿宋" w:cs="仿宋"/>
          <w:sz w:val="32"/>
          <w:szCs w:val="32"/>
        </w:rPr>
        <w:t>主要内容:依法平等保护各类市场主体</w:t>
      </w:r>
      <w:r>
        <w:rPr>
          <w:rFonts w:hint="eastAsia" w:ascii="仿宋" w:hAnsi="仿宋" w:eastAsia="仿宋" w:cs="仿宋"/>
          <w:sz w:val="32"/>
          <w:szCs w:val="32"/>
          <w:lang w:eastAsia="zh-CN"/>
        </w:rPr>
        <w:t>，</w:t>
      </w:r>
      <w:r>
        <w:rPr>
          <w:rFonts w:hint="eastAsia" w:ascii="仿宋" w:hAnsi="仿宋" w:eastAsia="仿宋" w:cs="仿宋"/>
          <w:sz w:val="32"/>
          <w:szCs w:val="32"/>
        </w:rPr>
        <w:t>精准服务和保障民营经济发展</w:t>
      </w:r>
      <w:r>
        <w:rPr>
          <w:rFonts w:hint="eastAsia" w:ascii="仿宋" w:hAnsi="仿宋" w:eastAsia="仿宋" w:cs="仿宋"/>
          <w:sz w:val="32"/>
          <w:szCs w:val="32"/>
          <w:lang w:eastAsia="zh-CN"/>
        </w:rPr>
        <w:t>，</w:t>
      </w:r>
      <w:r>
        <w:rPr>
          <w:rFonts w:hint="eastAsia" w:ascii="仿宋" w:hAnsi="仿宋" w:eastAsia="仿宋" w:cs="仿宋"/>
          <w:sz w:val="32"/>
          <w:szCs w:val="32"/>
        </w:rPr>
        <w:t>依法保护民营企业合法权益和民营企业家人身权、财产权</w:t>
      </w:r>
      <w:r>
        <w:rPr>
          <w:rFonts w:hint="eastAsia" w:ascii="仿宋" w:hAnsi="仿宋" w:eastAsia="仿宋" w:cs="仿宋"/>
          <w:sz w:val="32"/>
          <w:szCs w:val="32"/>
          <w:lang w:eastAsia="zh-CN"/>
        </w:rPr>
        <w:t>，</w:t>
      </w:r>
      <w:r>
        <w:rPr>
          <w:rFonts w:hint="eastAsia" w:ascii="仿宋" w:hAnsi="仿宋" w:eastAsia="仿宋" w:cs="仿宋"/>
          <w:sz w:val="32"/>
          <w:szCs w:val="32"/>
        </w:rPr>
        <w:t>依法保护民菅企业知识产权</w:t>
      </w:r>
      <w:r>
        <w:rPr>
          <w:rFonts w:hint="eastAsia" w:ascii="仿宋" w:hAnsi="仿宋" w:eastAsia="仿宋" w:cs="仿宋"/>
          <w:sz w:val="32"/>
          <w:szCs w:val="32"/>
          <w:lang w:eastAsia="zh-CN"/>
        </w:rPr>
        <w:t>，</w:t>
      </w:r>
      <w:r>
        <w:rPr>
          <w:rFonts w:hint="eastAsia" w:ascii="仿宋" w:hAnsi="仿宋" w:eastAsia="仿宋" w:cs="仿宋"/>
          <w:sz w:val="32"/>
          <w:szCs w:val="32"/>
        </w:rPr>
        <w:t>依法打击破坏民营企业营商环境的犯罪依法加强对涉民营企业案件刑事诉讼监督</w:t>
      </w:r>
      <w:r>
        <w:rPr>
          <w:rFonts w:hint="eastAsia" w:ascii="仿宋" w:hAnsi="仿宋" w:eastAsia="仿宋" w:cs="仿宋"/>
          <w:sz w:val="32"/>
          <w:szCs w:val="32"/>
          <w:lang w:eastAsia="zh-CN"/>
        </w:rPr>
        <w:t>，</w:t>
      </w:r>
      <w:r>
        <w:rPr>
          <w:rFonts w:hint="eastAsia" w:ascii="仿宋" w:hAnsi="仿宋" w:eastAsia="仿宋" w:cs="仿宋"/>
          <w:sz w:val="32"/>
          <w:szCs w:val="32"/>
        </w:rPr>
        <w:t>依法加强对涉民营企业案件民事行政检察监督</w:t>
      </w:r>
      <w:r>
        <w:rPr>
          <w:rFonts w:hint="eastAsia" w:ascii="仿宋" w:hAnsi="仿宋" w:eastAsia="仿宋" w:cs="仿宋"/>
          <w:sz w:val="32"/>
          <w:szCs w:val="32"/>
          <w:lang w:eastAsia="zh-CN"/>
        </w:rPr>
        <w:t>，</w:t>
      </w:r>
      <w:r>
        <w:rPr>
          <w:rFonts w:hint="eastAsia" w:ascii="仿宋" w:hAnsi="仿宋" w:eastAsia="仿宋" w:cs="仿宋"/>
          <w:sz w:val="32"/>
          <w:szCs w:val="32"/>
        </w:rPr>
        <w:t>严格把握涉民营企业案件的法律政策界限</w:t>
      </w:r>
      <w:r>
        <w:rPr>
          <w:rFonts w:hint="eastAsia" w:ascii="仿宋" w:hAnsi="仿宋" w:eastAsia="仿宋" w:cs="仿宋"/>
          <w:sz w:val="32"/>
          <w:szCs w:val="32"/>
          <w:lang w:eastAsia="zh-CN"/>
        </w:rPr>
        <w:t>，</w:t>
      </w:r>
      <w:r>
        <w:rPr>
          <w:rFonts w:hint="eastAsia" w:ascii="仿宋" w:hAnsi="仿宋" w:eastAsia="仿宋" w:cs="仿宋"/>
          <w:sz w:val="32"/>
          <w:szCs w:val="32"/>
        </w:rPr>
        <w:t>建立健全服务民营经济高质量发展的制度机制</w:t>
      </w:r>
      <w:r>
        <w:rPr>
          <w:rFonts w:hint="eastAsia" w:ascii="仿宋" w:hAnsi="仿宋" w:eastAsia="仿宋" w:cs="仿宋"/>
          <w:sz w:val="32"/>
          <w:szCs w:val="32"/>
          <w:lang w:eastAsia="zh-CN"/>
        </w:rPr>
        <w:t>，</w:t>
      </w:r>
      <w:r>
        <w:rPr>
          <w:rFonts w:hint="eastAsia" w:ascii="仿宋" w:hAnsi="仿宋" w:eastAsia="仿宋" w:cs="仿宋"/>
          <w:sz w:val="32"/>
          <w:szCs w:val="32"/>
        </w:rPr>
        <w:t>持续推进司法规范化建设</w:t>
      </w:r>
      <w:r>
        <w:rPr>
          <w:rFonts w:hint="eastAsia" w:ascii="仿宋" w:hAnsi="仿宋" w:eastAsia="仿宋" w:cs="仿宋"/>
          <w:sz w:val="32"/>
          <w:szCs w:val="32"/>
          <w:lang w:eastAsia="zh-CN"/>
        </w:rPr>
        <w:t>，</w:t>
      </w:r>
      <w:r>
        <w:rPr>
          <w:rFonts w:hint="eastAsia" w:ascii="仿宋" w:hAnsi="仿宋" w:eastAsia="仿宋" w:cs="仿宋"/>
          <w:sz w:val="32"/>
          <w:szCs w:val="32"/>
        </w:rPr>
        <w:t>加强组织领导</w:t>
      </w:r>
      <w:r>
        <w:rPr>
          <w:rFonts w:hint="eastAsia" w:ascii="仿宋" w:hAnsi="仿宋" w:eastAsia="仿宋" w:cs="仿宋"/>
          <w:sz w:val="32"/>
          <w:szCs w:val="32"/>
          <w:lang w:eastAsia="zh-CN"/>
        </w:rPr>
        <w:t>，</w:t>
      </w:r>
      <w:r>
        <w:rPr>
          <w:rFonts w:hint="eastAsia" w:ascii="仿宋" w:hAnsi="仿宋" w:eastAsia="仿宋" w:cs="仿宋"/>
          <w:sz w:val="32"/>
          <w:szCs w:val="32"/>
        </w:rPr>
        <w:t>加强督促指导。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4、检察开放日</w:t>
      </w:r>
      <w:r>
        <w:rPr>
          <w:rFonts w:hint="eastAsia" w:ascii="楷体" w:hAnsi="楷体" w:eastAsia="楷体" w:cs="楷体"/>
          <w:kern w:val="0"/>
          <w:sz w:val="32"/>
          <w:szCs w:val="32"/>
        </w:rPr>
        <w:t>（第</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页第</w:t>
      </w:r>
      <w:r>
        <w:rPr>
          <w:rFonts w:hint="eastAsia" w:ascii="楷体" w:hAnsi="楷体" w:eastAsia="楷体" w:cs="楷体"/>
          <w:kern w:val="0"/>
          <w:sz w:val="32"/>
          <w:szCs w:val="32"/>
          <w:lang w:val="en-US" w:eastAsia="zh-CN"/>
        </w:rPr>
        <w:t>16</w:t>
      </w:r>
      <w:r>
        <w:rPr>
          <w:rFonts w:hint="eastAsia" w:ascii="楷体" w:hAnsi="楷体" w:eastAsia="楷体" w:cs="楷体"/>
          <w:kern w:val="0"/>
          <w:sz w:val="32"/>
          <w:szCs w:val="32"/>
        </w:rPr>
        <w:t>行）</w:t>
      </w:r>
      <w:r>
        <w:rPr>
          <w:rFonts w:hint="eastAsia" w:ascii="楷体" w:hAnsi="楷体" w:eastAsia="楷体" w:cs="楷体"/>
          <w:sz w:val="32"/>
          <w:szCs w:val="32"/>
          <w:lang w:val="en-US" w:eastAsia="zh-CN"/>
        </w:rPr>
        <w:t>：</w:t>
      </w:r>
      <w:r>
        <w:rPr>
          <w:rFonts w:hint="eastAsia" w:ascii="仿宋" w:hAnsi="仿宋" w:eastAsia="仿宋" w:cs="仿宋"/>
          <w:sz w:val="32"/>
          <w:szCs w:val="32"/>
          <w:lang w:val="en-US" w:eastAsia="zh-CN"/>
        </w:rPr>
        <w:t>2020年10月，区检察院与</w:t>
      </w:r>
      <w:r>
        <w:rPr>
          <w:rFonts w:hint="eastAsia" w:ascii="仿宋" w:hAnsi="仿宋" w:eastAsia="仿宋" w:cs="仿宋"/>
          <w:sz w:val="32"/>
          <w:szCs w:val="32"/>
        </w:rPr>
        <w:t>区工商联共同举办“服务“六稳”</w:t>
      </w:r>
      <w:r>
        <w:rPr>
          <w:rFonts w:hint="eastAsia" w:ascii="仿宋" w:hAnsi="仿宋" w:eastAsia="仿宋" w:cs="仿宋"/>
          <w:sz w:val="32"/>
          <w:szCs w:val="32"/>
          <w:lang w:eastAsia="zh-CN"/>
        </w:rPr>
        <w:t>“</w:t>
      </w:r>
      <w:r>
        <w:rPr>
          <w:rFonts w:hint="eastAsia" w:ascii="仿宋" w:hAnsi="仿宋" w:eastAsia="仿宋" w:cs="仿宋"/>
          <w:sz w:val="32"/>
          <w:szCs w:val="32"/>
        </w:rPr>
        <w:t>六保</w:t>
      </w:r>
      <w:r>
        <w:rPr>
          <w:rFonts w:hint="eastAsia" w:ascii="仿宋" w:hAnsi="仿宋" w:eastAsia="仿宋" w:cs="仿宋"/>
          <w:sz w:val="32"/>
          <w:szCs w:val="32"/>
          <w:lang w:eastAsia="zh-CN"/>
        </w:rPr>
        <w:t>”</w:t>
      </w:r>
      <w:r>
        <w:rPr>
          <w:rFonts w:hint="eastAsia" w:ascii="仿宋" w:hAnsi="仿宋" w:eastAsia="仿宋" w:cs="仿宋"/>
          <w:sz w:val="32"/>
          <w:szCs w:val="32"/>
        </w:rPr>
        <w:t>护航民企发展”主题检察开放日活动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邀请了12</w:t>
      </w:r>
      <w:r>
        <w:rPr>
          <w:rFonts w:hint="eastAsia" w:ascii="仿宋" w:hAnsi="仿宋" w:eastAsia="仿宋" w:cs="仿宋"/>
          <w:sz w:val="32"/>
          <w:szCs w:val="32"/>
        </w:rPr>
        <w:t>名民营企业家</w:t>
      </w:r>
      <w:r>
        <w:rPr>
          <w:rFonts w:hint="eastAsia" w:ascii="仿宋" w:hAnsi="仿宋" w:eastAsia="仿宋" w:cs="仿宋"/>
          <w:sz w:val="32"/>
          <w:szCs w:val="32"/>
          <w:lang w:val="en-US" w:eastAsia="zh-CN"/>
        </w:rPr>
        <w:t>走进检察机关参观检察服务大厅、案管中心、询问室等场所，区检察院</w:t>
      </w:r>
      <w:r>
        <w:rPr>
          <w:rFonts w:hint="eastAsia" w:ascii="仿宋" w:hAnsi="仿宋" w:eastAsia="仿宋" w:cs="仿宋"/>
          <w:sz w:val="32"/>
          <w:szCs w:val="32"/>
        </w:rPr>
        <w:t>通报</w:t>
      </w:r>
      <w:r>
        <w:rPr>
          <w:rFonts w:hint="eastAsia" w:ascii="仿宋" w:hAnsi="仿宋" w:eastAsia="仿宋" w:cs="仿宋"/>
          <w:sz w:val="32"/>
          <w:szCs w:val="32"/>
          <w:lang w:val="en-US" w:eastAsia="zh-CN"/>
        </w:rPr>
        <w:t>了</w:t>
      </w:r>
      <w:r>
        <w:rPr>
          <w:rFonts w:hint="eastAsia" w:ascii="仿宋" w:hAnsi="仿宋" w:eastAsia="仿宋" w:cs="仿宋"/>
          <w:sz w:val="32"/>
          <w:szCs w:val="32"/>
        </w:rPr>
        <w:t>服务民营企业发展</w:t>
      </w:r>
      <w:r>
        <w:rPr>
          <w:rFonts w:hint="eastAsia" w:ascii="仿宋" w:hAnsi="仿宋" w:eastAsia="仿宋" w:cs="仿宋"/>
          <w:sz w:val="32"/>
          <w:szCs w:val="32"/>
          <w:lang w:val="en-US" w:eastAsia="zh-CN"/>
        </w:rPr>
        <w:t>工作</w:t>
      </w:r>
      <w:r>
        <w:rPr>
          <w:rFonts w:hint="eastAsia" w:ascii="仿宋" w:hAnsi="仿宋" w:eastAsia="仿宋" w:cs="仿宋"/>
          <w:sz w:val="32"/>
          <w:szCs w:val="32"/>
        </w:rPr>
        <w:t>情况</w:t>
      </w:r>
      <w:r>
        <w:rPr>
          <w:rFonts w:hint="eastAsia" w:ascii="仿宋" w:hAnsi="仿宋" w:eastAsia="仿宋" w:cs="仿宋"/>
          <w:sz w:val="32"/>
          <w:szCs w:val="32"/>
          <w:lang w:eastAsia="zh-CN"/>
        </w:rPr>
        <w:t>，</w:t>
      </w:r>
      <w:r>
        <w:rPr>
          <w:rFonts w:hint="eastAsia" w:ascii="仿宋" w:hAnsi="仿宋" w:eastAsia="仿宋" w:cs="仿宋"/>
          <w:sz w:val="32"/>
          <w:szCs w:val="32"/>
        </w:rPr>
        <w:t>面对面现场解答</w:t>
      </w:r>
      <w:r>
        <w:rPr>
          <w:rFonts w:hint="eastAsia" w:ascii="仿宋" w:hAnsi="仿宋" w:eastAsia="仿宋" w:cs="仿宋"/>
          <w:sz w:val="32"/>
          <w:szCs w:val="32"/>
          <w:lang w:val="en-US" w:eastAsia="zh-CN"/>
        </w:rPr>
        <w:t>了</w:t>
      </w:r>
      <w:r>
        <w:rPr>
          <w:rFonts w:hint="eastAsia" w:ascii="仿宋" w:hAnsi="仿宋" w:eastAsia="仿宋" w:cs="仿宋"/>
          <w:sz w:val="32"/>
          <w:szCs w:val="32"/>
        </w:rPr>
        <w:t>企业家关心关注的司法办案问题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听取了企业家对检察机关的意见建议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5、三环节、三机制信访工作机制</w:t>
      </w:r>
      <w:r>
        <w:rPr>
          <w:rFonts w:hint="eastAsia" w:ascii="楷体" w:hAnsi="楷体" w:eastAsia="楷体" w:cs="楷体"/>
          <w:kern w:val="0"/>
          <w:sz w:val="32"/>
          <w:szCs w:val="32"/>
        </w:rPr>
        <w:t>（第</w:t>
      </w:r>
      <w:r>
        <w:rPr>
          <w:rFonts w:hint="eastAsia" w:ascii="楷体" w:hAnsi="楷体" w:eastAsia="楷体" w:cs="楷体"/>
          <w:kern w:val="0"/>
          <w:sz w:val="32"/>
          <w:szCs w:val="32"/>
          <w:lang w:val="en-US" w:eastAsia="zh-CN"/>
        </w:rPr>
        <w:t>4</w:t>
      </w:r>
      <w:r>
        <w:rPr>
          <w:rFonts w:hint="eastAsia" w:ascii="楷体" w:hAnsi="楷体" w:eastAsia="楷体" w:cs="楷体"/>
          <w:kern w:val="0"/>
          <w:sz w:val="32"/>
          <w:szCs w:val="32"/>
        </w:rPr>
        <w:t>页第</w:t>
      </w:r>
      <w:r>
        <w:rPr>
          <w:rFonts w:hint="eastAsia" w:ascii="楷体" w:hAnsi="楷体" w:eastAsia="楷体" w:cs="楷体"/>
          <w:kern w:val="0"/>
          <w:sz w:val="32"/>
          <w:szCs w:val="32"/>
          <w:lang w:val="en-US" w:eastAsia="zh-CN"/>
        </w:rPr>
        <w:t>15</w:t>
      </w:r>
      <w:r>
        <w:rPr>
          <w:rFonts w:hint="eastAsia" w:ascii="楷体" w:hAnsi="楷体" w:eastAsia="楷体" w:cs="楷体"/>
          <w:kern w:val="0"/>
          <w:sz w:val="32"/>
          <w:szCs w:val="32"/>
        </w:rPr>
        <w:t>行）</w:t>
      </w:r>
      <w:r>
        <w:rPr>
          <w:rFonts w:hint="eastAsia" w:ascii="楷体" w:hAnsi="楷体" w:eastAsia="楷体" w:cs="楷体"/>
          <w:sz w:val="32"/>
          <w:szCs w:val="32"/>
          <w:lang w:val="en-US" w:eastAsia="zh-CN"/>
        </w:rPr>
        <w:t>：</w:t>
      </w:r>
      <w:r>
        <w:rPr>
          <w:rFonts w:hint="eastAsia" w:ascii="仿宋" w:hAnsi="仿宋" w:eastAsia="仿宋" w:cs="仿宋"/>
          <w:sz w:val="32"/>
          <w:szCs w:val="32"/>
          <w:lang w:val="en-US" w:eastAsia="zh-CN"/>
        </w:rPr>
        <w:t>即聚焦受理、办理、答复三个环节，建立“源头管理、协作调度、多元化解”三位一体信访工作机制，是区检察院以信访突出问题为导向，制定的包括“台账管理、网上办理、部门协同、强化调度、第三方参与”在内的一系列工作机制的统称。</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kern w:val="0"/>
          <w:sz w:val="32"/>
          <w:szCs w:val="32"/>
        </w:rPr>
        <w:t>6、认罪认罚从宽制度（第</w:t>
      </w:r>
      <w:r>
        <w:rPr>
          <w:rFonts w:hint="eastAsia" w:ascii="楷体" w:hAnsi="楷体" w:eastAsia="楷体" w:cs="楷体"/>
          <w:kern w:val="0"/>
          <w:sz w:val="32"/>
          <w:szCs w:val="32"/>
          <w:lang w:val="en-US" w:eastAsia="zh-CN"/>
        </w:rPr>
        <w:t>5</w:t>
      </w:r>
      <w:r>
        <w:rPr>
          <w:rFonts w:hint="eastAsia" w:ascii="楷体" w:hAnsi="楷体" w:eastAsia="楷体" w:cs="楷体"/>
          <w:kern w:val="0"/>
          <w:sz w:val="32"/>
          <w:szCs w:val="32"/>
        </w:rPr>
        <w:t>页第</w:t>
      </w:r>
      <w:r>
        <w:rPr>
          <w:rFonts w:hint="eastAsia" w:ascii="楷体" w:hAnsi="楷体" w:eastAsia="楷体" w:cs="楷体"/>
          <w:kern w:val="0"/>
          <w:sz w:val="32"/>
          <w:szCs w:val="32"/>
          <w:lang w:val="en-US" w:eastAsia="zh-CN"/>
        </w:rPr>
        <w:t>13</w:t>
      </w:r>
      <w:r>
        <w:rPr>
          <w:rFonts w:hint="eastAsia" w:ascii="楷体" w:hAnsi="楷体" w:eastAsia="楷体" w:cs="楷体"/>
          <w:kern w:val="0"/>
          <w:sz w:val="32"/>
          <w:szCs w:val="32"/>
        </w:rPr>
        <w:t>行）：</w:t>
      </w:r>
      <w:r>
        <w:rPr>
          <w:rFonts w:hint="eastAsia" w:ascii="仿宋" w:hAnsi="仿宋" w:eastAsia="仿宋" w:cs="仿宋"/>
          <w:kern w:val="0"/>
          <w:sz w:val="32"/>
          <w:szCs w:val="32"/>
        </w:rPr>
        <w:t>该制度是2018年10月修改后刑事诉讼法确立的一项司法制度，指犯罪嫌疑人、被告人自愿如实供述自己的罪行，对指控的犯罪事实没有异议，同意人民检察院量刑建议并签署具结书的案件，程序上可以依法从简处理，实体上可以依法从宽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7、公益诉讼检察观察员制度和举报奖励制度</w:t>
      </w:r>
      <w:r>
        <w:rPr>
          <w:rFonts w:hint="eastAsia" w:ascii="楷体" w:hAnsi="楷体" w:eastAsia="楷体" w:cs="楷体"/>
          <w:kern w:val="0"/>
          <w:sz w:val="32"/>
          <w:szCs w:val="32"/>
        </w:rPr>
        <w:t>（第</w:t>
      </w:r>
      <w:r>
        <w:rPr>
          <w:rFonts w:hint="eastAsia" w:ascii="楷体" w:hAnsi="楷体" w:eastAsia="楷体" w:cs="楷体"/>
          <w:kern w:val="0"/>
          <w:sz w:val="32"/>
          <w:szCs w:val="32"/>
          <w:lang w:val="en-US" w:eastAsia="zh-CN"/>
        </w:rPr>
        <w:t>6</w:t>
      </w:r>
      <w:r>
        <w:rPr>
          <w:rFonts w:hint="eastAsia" w:ascii="楷体" w:hAnsi="楷体" w:eastAsia="楷体" w:cs="楷体"/>
          <w:kern w:val="0"/>
          <w:sz w:val="32"/>
          <w:szCs w:val="32"/>
        </w:rPr>
        <w:t>页第</w:t>
      </w:r>
      <w:r>
        <w:rPr>
          <w:rFonts w:hint="eastAsia" w:ascii="楷体" w:hAnsi="楷体" w:eastAsia="楷体" w:cs="楷体"/>
          <w:kern w:val="0"/>
          <w:sz w:val="32"/>
          <w:szCs w:val="32"/>
          <w:lang w:val="en-US" w:eastAsia="zh-CN"/>
        </w:rPr>
        <w:t>16</w:t>
      </w:r>
      <w:r>
        <w:rPr>
          <w:rFonts w:hint="eastAsia" w:ascii="楷体" w:hAnsi="楷体" w:eastAsia="楷体" w:cs="楷体"/>
          <w:kern w:val="0"/>
          <w:sz w:val="32"/>
          <w:szCs w:val="32"/>
        </w:rPr>
        <w:t>行）</w:t>
      </w:r>
      <w:r>
        <w:rPr>
          <w:rFonts w:hint="eastAsia" w:ascii="楷体" w:hAnsi="楷体" w:eastAsia="楷体" w:cs="楷体"/>
          <w:sz w:val="32"/>
          <w:szCs w:val="32"/>
          <w:lang w:val="en-US" w:eastAsia="zh-CN"/>
        </w:rPr>
        <w:t>：</w:t>
      </w:r>
      <w:r>
        <w:rPr>
          <w:rFonts w:hint="eastAsia" w:ascii="仿宋" w:hAnsi="仿宋" w:eastAsia="仿宋" w:cs="仿宋"/>
          <w:sz w:val="32"/>
          <w:szCs w:val="32"/>
          <w:lang w:val="en-US" w:eastAsia="zh-CN"/>
        </w:rPr>
        <w:t>2020年3月，区检察院印发了《郴州市苏仙区人民检察院检察观察员管理办法(试行)》、《郴州市苏仙区人民检察院公益诉讼案件线索举报奖励办法（试行）》等文件，明确了公益诉讼检察观察员的聘用条件、方式、工作职责、义务、提供线索举报的奖励方式等内容，旨在发动群众参与到国家利益和社会公共利益的保护当中来，帮助检察机关拓宽公益诉讼线索、提供工作协助，汇聚起守护公共利益的强大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“三个规定”</w:t>
      </w:r>
      <w:r>
        <w:rPr>
          <w:rFonts w:hint="eastAsia" w:ascii="楷体" w:hAnsi="楷体" w:eastAsia="楷体" w:cs="楷体"/>
          <w:kern w:val="0"/>
          <w:sz w:val="32"/>
          <w:szCs w:val="32"/>
        </w:rPr>
        <w:t>（第</w:t>
      </w:r>
      <w:r>
        <w:rPr>
          <w:rFonts w:hint="eastAsia" w:ascii="楷体" w:hAnsi="楷体" w:eastAsia="楷体" w:cs="楷体"/>
          <w:kern w:val="0"/>
          <w:sz w:val="32"/>
          <w:szCs w:val="32"/>
          <w:lang w:val="en-US" w:eastAsia="zh-CN"/>
        </w:rPr>
        <w:t>8</w:t>
      </w:r>
      <w:r>
        <w:rPr>
          <w:rFonts w:hint="eastAsia" w:ascii="楷体" w:hAnsi="楷体" w:eastAsia="楷体" w:cs="楷体"/>
          <w:kern w:val="0"/>
          <w:sz w:val="32"/>
          <w:szCs w:val="32"/>
        </w:rPr>
        <w:t>页第11行）</w:t>
      </w:r>
      <w:r>
        <w:rPr>
          <w:rFonts w:hint="eastAsia" w:ascii="楷体" w:hAnsi="楷体" w:eastAsia="楷体" w:cs="楷体"/>
          <w:sz w:val="32"/>
          <w:szCs w:val="32"/>
        </w:rPr>
        <w:t>:</w:t>
      </w:r>
      <w:r>
        <w:rPr>
          <w:rFonts w:hint="eastAsia" w:ascii="仿宋" w:hAnsi="仿宋" w:eastAsia="仿宋" w:cs="仿宋"/>
          <w:sz w:val="32"/>
          <w:szCs w:val="32"/>
        </w:rPr>
        <w:t>是指2015年中办国办、中央政法委、“两高三部”先后印发的《领导干部干预司法活动、插手具体案件处理的记录、通报和责任追究规定》《司法机关内部人员过问案件的记录和责任追究规定》《关于进一步规范司法人员与当事人、律师、特殊关系人、中介组织接触交往行为的若干规定》</w:t>
      </w:r>
      <w:r>
        <w:rPr>
          <w:rFonts w:hint="eastAsia" w:ascii="仿宋" w:hAnsi="仿宋" w:eastAsia="仿宋" w:cs="仿宋"/>
          <w:sz w:val="32"/>
          <w:szCs w:val="32"/>
          <w:lang w:eastAsia="zh-CN"/>
        </w:rPr>
        <w:t>，</w:t>
      </w:r>
      <w:r>
        <w:rPr>
          <w:rFonts w:hint="eastAsia" w:ascii="仿宋" w:hAnsi="仿宋" w:eastAsia="仿宋" w:cs="仿宋"/>
          <w:sz w:val="32"/>
          <w:szCs w:val="32"/>
        </w:rPr>
        <w:t>要求对于领导干部插手干预司法、内部人员过问案件</w:t>
      </w:r>
      <w:r>
        <w:rPr>
          <w:rFonts w:hint="eastAsia" w:ascii="仿宋" w:hAnsi="仿宋" w:eastAsia="仿宋" w:cs="仿宋"/>
          <w:sz w:val="32"/>
          <w:szCs w:val="32"/>
          <w:lang w:eastAsia="zh-CN"/>
        </w:rPr>
        <w:t>，</w:t>
      </w:r>
      <w:r>
        <w:rPr>
          <w:rFonts w:hint="eastAsia" w:ascii="仿宋" w:hAnsi="仿宋" w:eastAsia="仿宋" w:cs="仿宋"/>
          <w:sz w:val="32"/>
          <w:szCs w:val="32"/>
        </w:rPr>
        <w:t>以及与当事人、律师等不当接触交往行为</w:t>
      </w:r>
      <w:r>
        <w:rPr>
          <w:rFonts w:hint="eastAsia" w:ascii="仿宋" w:hAnsi="仿宋" w:eastAsia="仿宋" w:cs="仿宋"/>
          <w:sz w:val="32"/>
          <w:szCs w:val="32"/>
          <w:lang w:eastAsia="zh-CN"/>
        </w:rPr>
        <w:t>，</w:t>
      </w:r>
      <w:r>
        <w:rPr>
          <w:rFonts w:hint="eastAsia" w:ascii="仿宋" w:hAnsi="仿宋" w:eastAsia="仿宋" w:cs="仿宋"/>
          <w:sz w:val="32"/>
          <w:szCs w:val="32"/>
        </w:rPr>
        <w:t>司法人员都要主动记录报告</w:t>
      </w:r>
      <w:r>
        <w:rPr>
          <w:rFonts w:hint="eastAsia" w:ascii="仿宋" w:hAnsi="仿宋" w:eastAsia="仿宋" w:cs="仿宋"/>
          <w:sz w:val="32"/>
          <w:szCs w:val="32"/>
          <w:lang w:eastAsia="zh-CN"/>
        </w:rPr>
        <w:t>，</w:t>
      </w:r>
      <w:r>
        <w:rPr>
          <w:rFonts w:hint="eastAsia" w:ascii="仿宋" w:hAnsi="仿宋" w:eastAsia="仿宋" w:cs="仿宋"/>
          <w:sz w:val="32"/>
          <w:szCs w:val="32"/>
        </w:rPr>
        <w:t>并进行通报和责任追究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sz w:val="32"/>
          <w:szCs w:val="32"/>
          <w:lang w:val="en-US" w:eastAsia="zh-CN"/>
        </w:rPr>
        <w:t>9、</w:t>
      </w:r>
      <w:r>
        <w:rPr>
          <w:rFonts w:hint="eastAsia" w:ascii="楷体" w:hAnsi="楷体" w:eastAsia="楷体" w:cs="楷体"/>
          <w:sz w:val="32"/>
          <w:szCs w:val="32"/>
        </w:rPr>
        <w:t>“捕诉一体”</w:t>
      </w:r>
      <w:r>
        <w:rPr>
          <w:rFonts w:hint="eastAsia" w:ascii="楷体" w:hAnsi="楷体" w:eastAsia="楷体" w:cs="楷体"/>
          <w:kern w:val="0"/>
          <w:sz w:val="32"/>
          <w:szCs w:val="32"/>
        </w:rPr>
        <w:t>（第</w:t>
      </w:r>
      <w:r>
        <w:rPr>
          <w:rFonts w:hint="eastAsia" w:ascii="楷体" w:hAnsi="楷体" w:eastAsia="楷体" w:cs="楷体"/>
          <w:kern w:val="0"/>
          <w:sz w:val="32"/>
          <w:szCs w:val="32"/>
          <w:lang w:val="en-US" w:eastAsia="zh-CN"/>
        </w:rPr>
        <w:t>8</w:t>
      </w:r>
      <w:r>
        <w:rPr>
          <w:rFonts w:hint="eastAsia" w:ascii="楷体" w:hAnsi="楷体" w:eastAsia="楷体" w:cs="楷体"/>
          <w:kern w:val="0"/>
          <w:sz w:val="32"/>
          <w:szCs w:val="32"/>
        </w:rPr>
        <w:t>页第</w:t>
      </w:r>
      <w:r>
        <w:rPr>
          <w:rFonts w:hint="eastAsia" w:ascii="楷体" w:hAnsi="楷体" w:eastAsia="楷体" w:cs="楷体"/>
          <w:kern w:val="0"/>
          <w:sz w:val="32"/>
          <w:szCs w:val="32"/>
          <w:lang w:val="en-US" w:eastAsia="zh-CN"/>
        </w:rPr>
        <w:t>20</w:t>
      </w:r>
      <w:r>
        <w:rPr>
          <w:rFonts w:hint="eastAsia" w:ascii="楷体" w:hAnsi="楷体" w:eastAsia="楷体" w:cs="楷体"/>
          <w:kern w:val="0"/>
          <w:sz w:val="32"/>
          <w:szCs w:val="32"/>
        </w:rPr>
        <w:t>行）</w:t>
      </w:r>
      <w:r>
        <w:rPr>
          <w:rFonts w:hint="eastAsia" w:ascii="楷体" w:hAnsi="楷体" w:eastAsia="楷体" w:cs="楷体"/>
          <w:sz w:val="32"/>
          <w:szCs w:val="32"/>
        </w:rPr>
        <w:t>:</w:t>
      </w:r>
      <w:r>
        <w:rPr>
          <w:rFonts w:hint="eastAsia" w:ascii="仿宋" w:hAnsi="仿宋" w:eastAsia="仿宋" w:cs="仿宋"/>
          <w:sz w:val="32"/>
          <w:szCs w:val="32"/>
        </w:rPr>
        <w:t>对同一刑事案件的审查逮捕、审查起诉、出庭支持公诉和立案监督、侦查监督、审判监督等工作由同一检察官或者检察官办案组负责。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10、</w:t>
      </w:r>
      <w:r>
        <w:rPr>
          <w:rFonts w:hint="eastAsia" w:ascii="楷体" w:hAnsi="楷体" w:eastAsia="楷体" w:cs="楷体"/>
          <w:sz w:val="32"/>
          <w:szCs w:val="32"/>
        </w:rPr>
        <w:t>“案件比”</w:t>
      </w:r>
      <w:r>
        <w:rPr>
          <w:rFonts w:hint="eastAsia" w:ascii="楷体" w:hAnsi="楷体" w:eastAsia="楷体" w:cs="楷体"/>
          <w:kern w:val="0"/>
          <w:sz w:val="32"/>
          <w:szCs w:val="32"/>
        </w:rPr>
        <w:t>（第</w:t>
      </w:r>
      <w:r>
        <w:rPr>
          <w:rFonts w:hint="eastAsia" w:ascii="楷体" w:hAnsi="楷体" w:eastAsia="楷体" w:cs="楷体"/>
          <w:kern w:val="0"/>
          <w:sz w:val="32"/>
          <w:szCs w:val="32"/>
          <w:lang w:val="en-US" w:eastAsia="zh-CN"/>
        </w:rPr>
        <w:t>8</w:t>
      </w:r>
      <w:r>
        <w:rPr>
          <w:rFonts w:hint="eastAsia" w:ascii="楷体" w:hAnsi="楷体" w:eastAsia="楷体" w:cs="楷体"/>
          <w:kern w:val="0"/>
          <w:sz w:val="32"/>
          <w:szCs w:val="32"/>
        </w:rPr>
        <w:t>页第</w:t>
      </w:r>
      <w:r>
        <w:rPr>
          <w:rFonts w:hint="eastAsia" w:ascii="楷体" w:hAnsi="楷体" w:eastAsia="楷体" w:cs="楷体"/>
          <w:kern w:val="0"/>
          <w:sz w:val="32"/>
          <w:szCs w:val="32"/>
          <w:lang w:val="en-US" w:eastAsia="zh-CN"/>
        </w:rPr>
        <w:t>23</w:t>
      </w:r>
      <w:r>
        <w:rPr>
          <w:rFonts w:hint="eastAsia" w:ascii="楷体" w:hAnsi="楷体" w:eastAsia="楷体" w:cs="楷体"/>
          <w:kern w:val="0"/>
          <w:sz w:val="32"/>
          <w:szCs w:val="32"/>
        </w:rPr>
        <w:t>行）</w:t>
      </w:r>
      <w:r>
        <w:rPr>
          <w:rFonts w:hint="eastAsia" w:ascii="楷体" w:hAnsi="楷体" w:eastAsia="楷体" w:cs="楷体"/>
          <w:sz w:val="32"/>
          <w:szCs w:val="32"/>
        </w:rPr>
        <w:t>:</w:t>
      </w:r>
      <w:r>
        <w:rPr>
          <w:rFonts w:hint="eastAsia" w:ascii="仿宋" w:hAnsi="仿宋" w:eastAsia="仿宋" w:cs="仿宋"/>
          <w:sz w:val="32"/>
          <w:szCs w:val="32"/>
        </w:rPr>
        <w:t>系最高人民检察院提出的案件质效评价标准当事人一案</w:t>
      </w:r>
      <w:r>
        <w:rPr>
          <w:rFonts w:hint="eastAsia" w:ascii="仿宋" w:hAnsi="仿宋" w:eastAsia="仿宋" w:cs="仿宋"/>
          <w:sz w:val="32"/>
          <w:szCs w:val="32"/>
          <w:lang w:eastAsia="zh-CN"/>
        </w:rPr>
        <w:t>，</w:t>
      </w:r>
      <w:r>
        <w:rPr>
          <w:rFonts w:hint="eastAsia" w:ascii="仿宋" w:hAnsi="仿宋" w:eastAsia="仿宋" w:cs="仿宋"/>
          <w:sz w:val="32"/>
          <w:szCs w:val="32"/>
        </w:rPr>
        <w:t>经过办案机关若干程序环节</w:t>
      </w:r>
      <w:r>
        <w:rPr>
          <w:rFonts w:hint="eastAsia" w:ascii="仿宋" w:hAnsi="仿宋" w:eastAsia="仿宋" w:cs="仿宋"/>
          <w:sz w:val="32"/>
          <w:szCs w:val="32"/>
          <w:lang w:eastAsia="zh-CN"/>
        </w:rPr>
        <w:t>，</w:t>
      </w:r>
      <w:r>
        <w:rPr>
          <w:rFonts w:hint="eastAsia" w:ascii="仿宋" w:hAnsi="仿宋" w:eastAsia="仿宋" w:cs="仿宋"/>
          <w:sz w:val="32"/>
          <w:szCs w:val="32"/>
        </w:rPr>
        <w:t>就被统计为若干“案件”</w:t>
      </w:r>
      <w:r>
        <w:rPr>
          <w:rFonts w:hint="eastAsia" w:ascii="仿宋" w:hAnsi="仿宋" w:eastAsia="仿宋" w:cs="仿宋"/>
          <w:sz w:val="32"/>
          <w:szCs w:val="32"/>
          <w:lang w:eastAsia="zh-CN"/>
        </w:rPr>
        <w:t>，</w:t>
      </w:r>
      <w:r>
        <w:rPr>
          <w:rFonts w:hint="eastAsia" w:ascii="仿宋" w:hAnsi="仿宋" w:eastAsia="仿宋" w:cs="仿宋"/>
          <w:sz w:val="32"/>
          <w:szCs w:val="32"/>
        </w:rPr>
        <w:t>而对当事人来说还是他的一个“案子”。“案子”经历司法程序越多、统计的“案件”越多</w:t>
      </w:r>
      <w:r>
        <w:rPr>
          <w:rFonts w:hint="eastAsia" w:ascii="仿宋" w:hAnsi="仿宋" w:eastAsia="仿宋" w:cs="仿宋"/>
          <w:sz w:val="32"/>
          <w:szCs w:val="32"/>
          <w:lang w:eastAsia="zh-CN"/>
        </w:rPr>
        <w:t>，</w:t>
      </w:r>
      <w:r>
        <w:rPr>
          <w:rFonts w:hint="eastAsia" w:ascii="仿宋" w:hAnsi="仿宋" w:eastAsia="仿宋" w:cs="仿宋"/>
          <w:sz w:val="32"/>
          <w:szCs w:val="32"/>
        </w:rPr>
        <w:t>司法资源耗费越多</w:t>
      </w:r>
      <w:r>
        <w:rPr>
          <w:rFonts w:hint="eastAsia" w:ascii="仿宋" w:hAnsi="仿宋" w:eastAsia="仿宋" w:cs="仿宋"/>
          <w:sz w:val="32"/>
          <w:szCs w:val="32"/>
          <w:lang w:eastAsia="zh-CN"/>
        </w:rPr>
        <w:t>，</w:t>
      </w:r>
      <w:r>
        <w:rPr>
          <w:rFonts w:hint="eastAsia" w:ascii="仿宋" w:hAnsi="仿宋" w:eastAsia="仿宋" w:cs="仿宋"/>
          <w:sz w:val="32"/>
          <w:szCs w:val="32"/>
        </w:rPr>
        <w:t>当事人讼累也越重。创立这一评价标准意在督导检察官强化责任意识、提升司法能力</w:t>
      </w:r>
      <w:r>
        <w:rPr>
          <w:rFonts w:hint="eastAsia" w:ascii="仿宋" w:hAnsi="仿宋" w:eastAsia="仿宋" w:cs="仿宋"/>
          <w:sz w:val="32"/>
          <w:szCs w:val="32"/>
          <w:lang w:eastAsia="zh-CN"/>
        </w:rPr>
        <w:t>，</w:t>
      </w:r>
      <w:r>
        <w:rPr>
          <w:rFonts w:hint="eastAsia" w:ascii="仿宋" w:hAnsi="仿宋" w:eastAsia="仿宋" w:cs="仿宋"/>
          <w:sz w:val="32"/>
          <w:szCs w:val="32"/>
        </w:rPr>
        <w:t>努力把工作做到极致</w:t>
      </w:r>
      <w:r>
        <w:rPr>
          <w:rFonts w:hint="eastAsia" w:ascii="仿宋" w:hAnsi="仿宋" w:eastAsia="仿宋" w:cs="仿宋"/>
          <w:sz w:val="32"/>
          <w:szCs w:val="32"/>
          <w:lang w:eastAsia="zh-CN"/>
        </w:rPr>
        <w:t>，</w:t>
      </w:r>
      <w:r>
        <w:rPr>
          <w:rFonts w:hint="eastAsia" w:ascii="仿宋" w:hAnsi="仿宋" w:eastAsia="仿宋" w:cs="仿宋"/>
          <w:sz w:val="32"/>
          <w:szCs w:val="32"/>
        </w:rPr>
        <w:t>避免不应有的程序空转。</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zY0MjY4OGVlOGI5YjcxZmNhYjUxMTFmM2ZhN2YifQ=="/>
  </w:docVars>
  <w:rsids>
    <w:rsidRoot w:val="1D5D7CF1"/>
    <w:rsid w:val="000B2223"/>
    <w:rsid w:val="0012374C"/>
    <w:rsid w:val="00127883"/>
    <w:rsid w:val="001A512A"/>
    <w:rsid w:val="002E7334"/>
    <w:rsid w:val="00315F22"/>
    <w:rsid w:val="00370A0F"/>
    <w:rsid w:val="003A3C9A"/>
    <w:rsid w:val="003C09C0"/>
    <w:rsid w:val="00421E51"/>
    <w:rsid w:val="00481D16"/>
    <w:rsid w:val="005710B6"/>
    <w:rsid w:val="005753EA"/>
    <w:rsid w:val="00587B2F"/>
    <w:rsid w:val="005E31EE"/>
    <w:rsid w:val="006177E9"/>
    <w:rsid w:val="006237E1"/>
    <w:rsid w:val="006A46B6"/>
    <w:rsid w:val="006C5060"/>
    <w:rsid w:val="00707BDB"/>
    <w:rsid w:val="007B22E4"/>
    <w:rsid w:val="007F6B8C"/>
    <w:rsid w:val="00843763"/>
    <w:rsid w:val="00844324"/>
    <w:rsid w:val="008F04E7"/>
    <w:rsid w:val="009B550F"/>
    <w:rsid w:val="009C4BF8"/>
    <w:rsid w:val="00A30834"/>
    <w:rsid w:val="00A45762"/>
    <w:rsid w:val="00A51A5C"/>
    <w:rsid w:val="00AF1A0D"/>
    <w:rsid w:val="00B90452"/>
    <w:rsid w:val="00BF45C6"/>
    <w:rsid w:val="00CA4B54"/>
    <w:rsid w:val="00CD78F6"/>
    <w:rsid w:val="00E42BEE"/>
    <w:rsid w:val="00F3180D"/>
    <w:rsid w:val="010C15D1"/>
    <w:rsid w:val="01F61245"/>
    <w:rsid w:val="02E14D1B"/>
    <w:rsid w:val="02FC1F6F"/>
    <w:rsid w:val="036735C2"/>
    <w:rsid w:val="058A79B8"/>
    <w:rsid w:val="05A15BF2"/>
    <w:rsid w:val="05C74DAD"/>
    <w:rsid w:val="0677149E"/>
    <w:rsid w:val="068069E5"/>
    <w:rsid w:val="06B45C00"/>
    <w:rsid w:val="06E37EBE"/>
    <w:rsid w:val="07C850A1"/>
    <w:rsid w:val="08515670"/>
    <w:rsid w:val="088E6FCB"/>
    <w:rsid w:val="08B639E4"/>
    <w:rsid w:val="09D32620"/>
    <w:rsid w:val="0A387EE7"/>
    <w:rsid w:val="0AF80E48"/>
    <w:rsid w:val="0B2B2FB3"/>
    <w:rsid w:val="0C473383"/>
    <w:rsid w:val="0C6C30D5"/>
    <w:rsid w:val="0CF857CF"/>
    <w:rsid w:val="0D190FE0"/>
    <w:rsid w:val="0D352F34"/>
    <w:rsid w:val="0E673EFF"/>
    <w:rsid w:val="0EA5492E"/>
    <w:rsid w:val="10177C1A"/>
    <w:rsid w:val="11CE6D1F"/>
    <w:rsid w:val="13133204"/>
    <w:rsid w:val="134C1CDD"/>
    <w:rsid w:val="14D27009"/>
    <w:rsid w:val="161C7A8E"/>
    <w:rsid w:val="16364655"/>
    <w:rsid w:val="169B3449"/>
    <w:rsid w:val="171A1853"/>
    <w:rsid w:val="1781564A"/>
    <w:rsid w:val="17CA4818"/>
    <w:rsid w:val="18005FB3"/>
    <w:rsid w:val="18375D3E"/>
    <w:rsid w:val="187B0032"/>
    <w:rsid w:val="188D4D27"/>
    <w:rsid w:val="1B1C698A"/>
    <w:rsid w:val="1B22478B"/>
    <w:rsid w:val="1C0358EF"/>
    <w:rsid w:val="1CF77A4C"/>
    <w:rsid w:val="1D5D7CF1"/>
    <w:rsid w:val="1E4042D7"/>
    <w:rsid w:val="1EBA495E"/>
    <w:rsid w:val="1F6251B3"/>
    <w:rsid w:val="1F9A2ED4"/>
    <w:rsid w:val="20E06299"/>
    <w:rsid w:val="20EB6B5F"/>
    <w:rsid w:val="212121C1"/>
    <w:rsid w:val="217058E4"/>
    <w:rsid w:val="218C76C3"/>
    <w:rsid w:val="229C4047"/>
    <w:rsid w:val="22A45601"/>
    <w:rsid w:val="23131662"/>
    <w:rsid w:val="239D69B3"/>
    <w:rsid w:val="23A2409E"/>
    <w:rsid w:val="23B0349E"/>
    <w:rsid w:val="240B1064"/>
    <w:rsid w:val="262F55FF"/>
    <w:rsid w:val="26853572"/>
    <w:rsid w:val="27564538"/>
    <w:rsid w:val="27940A40"/>
    <w:rsid w:val="28831E15"/>
    <w:rsid w:val="290E7745"/>
    <w:rsid w:val="29275DAC"/>
    <w:rsid w:val="29616477"/>
    <w:rsid w:val="29A9493B"/>
    <w:rsid w:val="29E434C7"/>
    <w:rsid w:val="2A0C13AD"/>
    <w:rsid w:val="2AEC3E88"/>
    <w:rsid w:val="2B2E6D38"/>
    <w:rsid w:val="2B382E23"/>
    <w:rsid w:val="2B6C2431"/>
    <w:rsid w:val="2B6E6FF0"/>
    <w:rsid w:val="2C0C6FB0"/>
    <w:rsid w:val="2C6922EF"/>
    <w:rsid w:val="2C720C9C"/>
    <w:rsid w:val="2C8B61D3"/>
    <w:rsid w:val="2D637640"/>
    <w:rsid w:val="2DB32158"/>
    <w:rsid w:val="2E7B7D06"/>
    <w:rsid w:val="2E7C7043"/>
    <w:rsid w:val="2EA34811"/>
    <w:rsid w:val="2EEE0D76"/>
    <w:rsid w:val="2F17283F"/>
    <w:rsid w:val="2FD161CD"/>
    <w:rsid w:val="2FFC103E"/>
    <w:rsid w:val="2FFE5534"/>
    <w:rsid w:val="30B162D4"/>
    <w:rsid w:val="31031ECA"/>
    <w:rsid w:val="3273057E"/>
    <w:rsid w:val="328C0E15"/>
    <w:rsid w:val="345872E1"/>
    <w:rsid w:val="34EF3035"/>
    <w:rsid w:val="358B0017"/>
    <w:rsid w:val="35D65A4C"/>
    <w:rsid w:val="36396EBB"/>
    <w:rsid w:val="380B564D"/>
    <w:rsid w:val="38755B79"/>
    <w:rsid w:val="389915AB"/>
    <w:rsid w:val="38CF2C72"/>
    <w:rsid w:val="3AB35DC0"/>
    <w:rsid w:val="3B3D7935"/>
    <w:rsid w:val="3B7937E4"/>
    <w:rsid w:val="3BE557F7"/>
    <w:rsid w:val="3CBE6090"/>
    <w:rsid w:val="3D9D702D"/>
    <w:rsid w:val="3F175A2E"/>
    <w:rsid w:val="3FF34752"/>
    <w:rsid w:val="40B96C6E"/>
    <w:rsid w:val="41297218"/>
    <w:rsid w:val="41463AE8"/>
    <w:rsid w:val="4188512C"/>
    <w:rsid w:val="41E22CE1"/>
    <w:rsid w:val="420E2DC6"/>
    <w:rsid w:val="42CE6EDA"/>
    <w:rsid w:val="42ED37B6"/>
    <w:rsid w:val="42EF7607"/>
    <w:rsid w:val="442033F2"/>
    <w:rsid w:val="44362A9A"/>
    <w:rsid w:val="451542B4"/>
    <w:rsid w:val="453D189D"/>
    <w:rsid w:val="45C37EF1"/>
    <w:rsid w:val="45F45A19"/>
    <w:rsid w:val="4639575C"/>
    <w:rsid w:val="47CA63FC"/>
    <w:rsid w:val="48C94DB3"/>
    <w:rsid w:val="48D175C0"/>
    <w:rsid w:val="4A3474CF"/>
    <w:rsid w:val="4AB20C8C"/>
    <w:rsid w:val="4AF37DDA"/>
    <w:rsid w:val="4B0F15EC"/>
    <w:rsid w:val="4CA31552"/>
    <w:rsid w:val="4CB105DF"/>
    <w:rsid w:val="4CC24E2B"/>
    <w:rsid w:val="4D086C2D"/>
    <w:rsid w:val="4E031EC2"/>
    <w:rsid w:val="4E0F456A"/>
    <w:rsid w:val="4EA977CD"/>
    <w:rsid w:val="4F620239"/>
    <w:rsid w:val="4F9D0F1A"/>
    <w:rsid w:val="50C346B2"/>
    <w:rsid w:val="50E944C8"/>
    <w:rsid w:val="50F61B12"/>
    <w:rsid w:val="51CE31F7"/>
    <w:rsid w:val="525E6DCB"/>
    <w:rsid w:val="52B2050C"/>
    <w:rsid w:val="53E32EAD"/>
    <w:rsid w:val="55515DB3"/>
    <w:rsid w:val="558660B8"/>
    <w:rsid w:val="559E0AB7"/>
    <w:rsid w:val="55A507F0"/>
    <w:rsid w:val="57234811"/>
    <w:rsid w:val="57B2330B"/>
    <w:rsid w:val="58160A11"/>
    <w:rsid w:val="5A3652F5"/>
    <w:rsid w:val="5A466973"/>
    <w:rsid w:val="5B203ED8"/>
    <w:rsid w:val="5CA753EA"/>
    <w:rsid w:val="5CB738A2"/>
    <w:rsid w:val="5D990581"/>
    <w:rsid w:val="5DB76E86"/>
    <w:rsid w:val="5F4304E1"/>
    <w:rsid w:val="5F474B6E"/>
    <w:rsid w:val="5F7D47C8"/>
    <w:rsid w:val="600108E5"/>
    <w:rsid w:val="60844D4B"/>
    <w:rsid w:val="61712807"/>
    <w:rsid w:val="62665CA9"/>
    <w:rsid w:val="62A622F6"/>
    <w:rsid w:val="63835530"/>
    <w:rsid w:val="645636CF"/>
    <w:rsid w:val="64673917"/>
    <w:rsid w:val="668B2C22"/>
    <w:rsid w:val="66AF0501"/>
    <w:rsid w:val="674143D5"/>
    <w:rsid w:val="67FC73A9"/>
    <w:rsid w:val="688F00BF"/>
    <w:rsid w:val="6A971495"/>
    <w:rsid w:val="6B27606B"/>
    <w:rsid w:val="6B500CB3"/>
    <w:rsid w:val="6BFB003C"/>
    <w:rsid w:val="6D7D6DCE"/>
    <w:rsid w:val="6D9D4A25"/>
    <w:rsid w:val="6E00481D"/>
    <w:rsid w:val="6E77746D"/>
    <w:rsid w:val="6F62696D"/>
    <w:rsid w:val="6FE2458B"/>
    <w:rsid w:val="702D3B22"/>
    <w:rsid w:val="70BD55E2"/>
    <w:rsid w:val="71310A7B"/>
    <w:rsid w:val="71EF04DA"/>
    <w:rsid w:val="74B35E59"/>
    <w:rsid w:val="754F5A6F"/>
    <w:rsid w:val="7627761B"/>
    <w:rsid w:val="76DB114D"/>
    <w:rsid w:val="78445B01"/>
    <w:rsid w:val="786C137A"/>
    <w:rsid w:val="796441BC"/>
    <w:rsid w:val="7A033A9A"/>
    <w:rsid w:val="7A907F35"/>
    <w:rsid w:val="7A9E3AB9"/>
    <w:rsid w:val="7AF4321D"/>
    <w:rsid w:val="7C844DD0"/>
    <w:rsid w:val="7CCB70F9"/>
    <w:rsid w:val="7E2432F7"/>
    <w:rsid w:val="7EBC226E"/>
    <w:rsid w:val="7F062EE6"/>
    <w:rsid w:val="7F207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rFonts w:eastAsia="宋体"/>
      <w:sz w:val="24"/>
    </w:rPr>
  </w:style>
  <w:style w:type="character" w:customStyle="1" w:styleId="7">
    <w:name w:val="apple-converted-space"/>
    <w:basedOn w:val="6"/>
    <w:qFormat/>
    <w:uiPriority w:val="0"/>
  </w:style>
  <w:style w:type="paragraph" w:styleId="8">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8400</Words>
  <Characters>8598</Characters>
  <Lines>49</Lines>
  <Paragraphs>14</Paragraphs>
  <TotalTime>0</TotalTime>
  <ScaleCrop>false</ScaleCrop>
  <LinksUpToDate>false</LinksUpToDate>
  <CharactersWithSpaces>8602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2020-12-10T06:48:00Z</dcterms:created>
  <dc:creator>郭虎</dc:creator>
  <cp:lastModifiedBy>李昭宗</cp:lastModifiedBy>
  <cp:lastPrinted>2021-03-04T08:25:00Z</cp:lastPrinted>
  <dcterms:modified xsi:type="dcterms:W3CDTF">2022-07-07T02:13:31Z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CF55EF40DCDB462E8C35EFF25A64908A</vt:lpwstr>
  </property>
</Properties>
</file>